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single" w:sz="4" w:space="0" w:color="auto"/>
        </w:tblBorders>
        <w:tblLook w:val="04A0" w:firstRow="1" w:lastRow="0" w:firstColumn="1" w:lastColumn="0" w:noHBand="0" w:noVBand="1"/>
      </w:tblPr>
      <w:tblGrid>
        <w:gridCol w:w="7456"/>
        <w:gridCol w:w="6549"/>
      </w:tblGrid>
      <w:tr w:rsidR="0076049B" w:rsidRPr="00877B7B" w:rsidTr="0076049B">
        <w:trPr>
          <w:trHeight w:val="851"/>
        </w:trPr>
        <w:tc>
          <w:tcPr>
            <w:tcW w:w="2662" w:type="pct"/>
          </w:tcPr>
          <w:p w:rsidR="00CB0B13" w:rsidRPr="00877B7B" w:rsidRDefault="00CB0B13" w:rsidP="00521980">
            <w:pPr>
              <w:jc w:val="center"/>
              <w:rPr>
                <w:bCs/>
                <w:sz w:val="26"/>
                <w:szCs w:val="26"/>
              </w:rPr>
            </w:pPr>
            <w:r w:rsidRPr="00877B7B">
              <w:rPr>
                <w:bCs/>
                <w:sz w:val="26"/>
                <w:szCs w:val="26"/>
              </w:rPr>
              <w:t xml:space="preserve">ỦY BAN NHÂN DÂN </w:t>
            </w:r>
          </w:p>
          <w:p w:rsidR="00CB0B13" w:rsidRPr="00877B7B" w:rsidRDefault="00CB0B13" w:rsidP="00521980">
            <w:pPr>
              <w:jc w:val="center"/>
              <w:rPr>
                <w:b/>
                <w:sz w:val="26"/>
                <w:szCs w:val="26"/>
              </w:rPr>
            </w:pPr>
            <w:r w:rsidRPr="00877B7B">
              <w:rPr>
                <w:bCs/>
                <w:sz w:val="26"/>
                <w:szCs w:val="26"/>
              </w:rPr>
              <w:t>THÀNH PHỐ HỒ CHÍ MINH</w:t>
            </w:r>
          </w:p>
          <w:p w:rsidR="002F04B7" w:rsidRPr="00877B7B" w:rsidRDefault="002F04B7" w:rsidP="00521980">
            <w:pPr>
              <w:jc w:val="center"/>
              <w:rPr>
                <w:b/>
                <w:sz w:val="26"/>
                <w:szCs w:val="26"/>
              </w:rPr>
            </w:pPr>
            <w:r w:rsidRPr="00877B7B">
              <w:rPr>
                <w:b/>
                <w:sz w:val="26"/>
                <w:szCs w:val="26"/>
              </w:rPr>
              <w:t xml:space="preserve">SỞ </w:t>
            </w:r>
            <w:r w:rsidR="002A186D" w:rsidRPr="00877B7B">
              <w:rPr>
                <w:b/>
                <w:sz w:val="26"/>
                <w:szCs w:val="26"/>
              </w:rPr>
              <w:t>KHOA HỌC VÀ CÔNG NGHỆ</w:t>
            </w:r>
          </w:p>
          <w:p w:rsidR="00CB0B13" w:rsidRPr="00877B7B" w:rsidRDefault="00046C6E" w:rsidP="00521980">
            <w:pPr>
              <w:jc w:val="center"/>
              <w:rPr>
                <w:b/>
                <w:bCs/>
                <w:sz w:val="26"/>
                <w:szCs w:val="26"/>
              </w:rPr>
            </w:pPr>
            <w:r w:rsidRPr="00877B7B">
              <w:rPr>
                <w:b/>
                <w:bCs/>
                <w:sz w:val="26"/>
                <w:szCs w:val="26"/>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28575</wp:posOffset>
                      </wp:positionV>
                      <wp:extent cx="1260000" cy="0"/>
                      <wp:effectExtent l="0" t="0" r="35560"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A8378" id="_x0000_t32" coordsize="21600,21600" o:spt="32" o:oned="t" path="m,l21600,21600e" filled="f">
                      <v:path arrowok="t" fillok="f" o:connecttype="none"/>
                      <o:lock v:ext="edit" shapetype="t"/>
                    </v:shapetype>
                    <v:shape id="AutoShape 10" o:spid="_x0000_s1026" type="#_x0000_t32" style="position:absolute;margin-left:0;margin-top:2.25pt;width:99.2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4zHg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">
                      <w10:wrap anchorx="margin"/>
                    </v:shape>
                  </w:pict>
                </mc:Fallback>
              </mc:AlternateContent>
            </w:r>
          </w:p>
        </w:tc>
        <w:tc>
          <w:tcPr>
            <w:tcW w:w="2338" w:type="pct"/>
          </w:tcPr>
          <w:p w:rsidR="00CB0B13" w:rsidRPr="00877B7B" w:rsidRDefault="00CB0B13" w:rsidP="00521980">
            <w:pPr>
              <w:jc w:val="center"/>
              <w:rPr>
                <w:rFonts w:eastAsia="Calibri"/>
                <w:b/>
                <w:sz w:val="26"/>
                <w:szCs w:val="26"/>
              </w:rPr>
            </w:pPr>
            <w:r w:rsidRPr="00877B7B">
              <w:rPr>
                <w:rFonts w:eastAsia="Calibri"/>
                <w:b/>
                <w:sz w:val="26"/>
                <w:szCs w:val="26"/>
              </w:rPr>
              <w:t>CỘNG HÒA XÃ HỘI CHỦ NGHĨA VIỆT NAM</w:t>
            </w:r>
          </w:p>
          <w:p w:rsidR="00CB0B13" w:rsidRPr="00877B7B" w:rsidRDefault="00CB0B13" w:rsidP="00521980">
            <w:pPr>
              <w:jc w:val="center"/>
              <w:rPr>
                <w:rFonts w:eastAsia="Calibri"/>
                <w:b/>
                <w:sz w:val="28"/>
                <w:szCs w:val="28"/>
              </w:rPr>
            </w:pPr>
            <w:r w:rsidRPr="00877B7B">
              <w:rPr>
                <w:rFonts w:eastAsia="Calibri"/>
                <w:b/>
                <w:sz w:val="28"/>
                <w:szCs w:val="28"/>
              </w:rPr>
              <w:t>Độc lập - Tự do - Hạnh phúc</w:t>
            </w:r>
          </w:p>
          <w:p w:rsidR="006E5C6B" w:rsidRPr="00877B7B" w:rsidRDefault="00046C6E" w:rsidP="00521980">
            <w:pPr>
              <w:jc w:val="center"/>
              <w:rPr>
                <w:i/>
                <w:sz w:val="26"/>
                <w:szCs w:val="26"/>
              </w:rPr>
            </w:pPr>
            <w:r w:rsidRPr="00877B7B">
              <w:rPr>
                <w:rFonts w:eastAsia="Calibri"/>
                <w:b/>
                <w:sz w:val="26"/>
                <w:szCs w:val="26"/>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28575</wp:posOffset>
                      </wp:positionV>
                      <wp:extent cx="2160000"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AD317" id="Straight Connector 2"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5pt" to="170.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X7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">
                      <w10:wrap anchorx="margin"/>
                    </v:line>
                  </w:pict>
                </mc:Fallback>
              </mc:AlternateContent>
            </w:r>
          </w:p>
          <w:p w:rsidR="002F04B7" w:rsidRPr="00877B7B" w:rsidRDefault="002F04B7" w:rsidP="00521980">
            <w:pPr>
              <w:jc w:val="center"/>
              <w:rPr>
                <w:i/>
                <w:sz w:val="26"/>
                <w:szCs w:val="26"/>
              </w:rPr>
            </w:pPr>
          </w:p>
          <w:p w:rsidR="00CB0B13" w:rsidRPr="00877B7B" w:rsidRDefault="006E5C6B" w:rsidP="00521980">
            <w:pPr>
              <w:jc w:val="center"/>
              <w:rPr>
                <w:rFonts w:eastAsia="Calibri"/>
                <w:b/>
                <w:sz w:val="26"/>
                <w:szCs w:val="26"/>
              </w:rPr>
            </w:pPr>
            <w:r w:rsidRPr="00877B7B">
              <w:rPr>
                <w:i/>
                <w:sz w:val="26"/>
                <w:szCs w:val="26"/>
              </w:rPr>
              <w:t>Thành phố Hồ Chí Minh, ngày     tháng</w:t>
            </w:r>
            <w:r w:rsidR="00633891" w:rsidRPr="00877B7B">
              <w:rPr>
                <w:i/>
                <w:sz w:val="26"/>
                <w:szCs w:val="26"/>
              </w:rPr>
              <w:t xml:space="preserve"> </w:t>
            </w:r>
            <w:r w:rsidR="00346EB2" w:rsidRPr="00877B7B">
              <w:rPr>
                <w:i/>
                <w:sz w:val="26"/>
                <w:szCs w:val="26"/>
              </w:rPr>
              <w:t xml:space="preserve"> </w:t>
            </w:r>
            <w:r w:rsidR="00633891" w:rsidRPr="00877B7B">
              <w:rPr>
                <w:i/>
                <w:sz w:val="26"/>
                <w:szCs w:val="26"/>
              </w:rPr>
              <w:t xml:space="preserve"> </w:t>
            </w:r>
            <w:r w:rsidR="00877B7B" w:rsidRPr="00877B7B">
              <w:rPr>
                <w:i/>
                <w:sz w:val="26"/>
                <w:szCs w:val="26"/>
              </w:rPr>
              <w:t>năm 2026</w:t>
            </w:r>
          </w:p>
        </w:tc>
      </w:tr>
    </w:tbl>
    <w:p w:rsidR="00DB1B5C" w:rsidRPr="0076049B" w:rsidRDefault="00DB1B5C" w:rsidP="00521980">
      <w:pPr>
        <w:spacing w:before="120"/>
        <w:jc w:val="center"/>
        <w:rPr>
          <w:b/>
          <w:sz w:val="26"/>
          <w:szCs w:val="26"/>
        </w:rPr>
      </w:pPr>
    </w:p>
    <w:p w:rsidR="00382F4D" w:rsidRPr="0076049B" w:rsidRDefault="00D750EB" w:rsidP="00936E31">
      <w:pPr>
        <w:jc w:val="center"/>
        <w:rPr>
          <w:b/>
          <w:sz w:val="28"/>
          <w:szCs w:val="28"/>
        </w:rPr>
      </w:pPr>
      <w:r w:rsidRPr="0076049B">
        <w:rPr>
          <w:b/>
          <w:sz w:val="28"/>
          <w:szCs w:val="28"/>
        </w:rPr>
        <w:t xml:space="preserve">BẢN </w:t>
      </w:r>
      <w:r w:rsidR="00CB0B13" w:rsidRPr="0076049B">
        <w:rPr>
          <w:b/>
          <w:sz w:val="28"/>
          <w:szCs w:val="28"/>
        </w:rPr>
        <w:t>SO SÁNH, THUYẾT MINH NỘI DUNG DỰ THẢO VĂN BẢN QUY PHẠM PHÁP LUẬT</w:t>
      </w:r>
    </w:p>
    <w:p w:rsidR="00CB0B13" w:rsidRPr="0076049B" w:rsidRDefault="00CB0B13" w:rsidP="00936E31">
      <w:pPr>
        <w:jc w:val="center"/>
        <w:rPr>
          <w:i/>
          <w:sz w:val="28"/>
          <w:szCs w:val="28"/>
        </w:rPr>
      </w:pPr>
      <w:r w:rsidRPr="0076049B">
        <w:rPr>
          <w:i/>
          <w:sz w:val="28"/>
          <w:szCs w:val="28"/>
        </w:rPr>
        <w:t>(Đính kèm Tờ trình số …/TTr-</w:t>
      </w:r>
      <w:r w:rsidR="002A186D" w:rsidRPr="0076049B">
        <w:rPr>
          <w:i/>
          <w:sz w:val="28"/>
          <w:szCs w:val="28"/>
        </w:rPr>
        <w:t>SKHCN</w:t>
      </w:r>
      <w:r w:rsidRPr="0076049B">
        <w:rPr>
          <w:i/>
          <w:sz w:val="28"/>
          <w:szCs w:val="28"/>
        </w:rPr>
        <w:t xml:space="preserve"> ngày </w:t>
      </w:r>
      <w:r w:rsidR="0076049B">
        <w:rPr>
          <w:i/>
          <w:sz w:val="28"/>
          <w:szCs w:val="28"/>
        </w:rPr>
        <w:t>…</w:t>
      </w:r>
      <w:r w:rsidRPr="0076049B">
        <w:rPr>
          <w:i/>
          <w:sz w:val="28"/>
          <w:szCs w:val="28"/>
        </w:rPr>
        <w:t xml:space="preserve"> tháng</w:t>
      </w:r>
      <w:r w:rsidR="002B1A20" w:rsidRPr="0076049B">
        <w:rPr>
          <w:i/>
          <w:sz w:val="28"/>
          <w:szCs w:val="28"/>
        </w:rPr>
        <w:t>….</w:t>
      </w:r>
      <w:r w:rsidRPr="0076049B">
        <w:rPr>
          <w:i/>
          <w:sz w:val="28"/>
          <w:szCs w:val="28"/>
        </w:rPr>
        <w:t xml:space="preserve"> năm 202</w:t>
      </w:r>
      <w:r w:rsidR="007646BF">
        <w:rPr>
          <w:i/>
          <w:sz w:val="28"/>
          <w:szCs w:val="28"/>
        </w:rPr>
        <w:t>6</w:t>
      </w:r>
      <w:r w:rsidRPr="0076049B">
        <w:rPr>
          <w:i/>
          <w:sz w:val="28"/>
          <w:szCs w:val="28"/>
        </w:rPr>
        <w:t xml:space="preserve"> của </w:t>
      </w:r>
      <w:r w:rsidR="00EE74C8" w:rsidRPr="0076049B">
        <w:rPr>
          <w:i/>
          <w:sz w:val="28"/>
          <w:szCs w:val="28"/>
        </w:rPr>
        <w:t xml:space="preserve">Sở </w:t>
      </w:r>
      <w:r w:rsidR="002A186D" w:rsidRPr="0076049B">
        <w:rPr>
          <w:i/>
          <w:sz w:val="28"/>
          <w:szCs w:val="28"/>
        </w:rPr>
        <w:t>Khoa học và Công nghệ</w:t>
      </w:r>
      <w:r w:rsidR="00EE74C8" w:rsidRPr="0076049B">
        <w:rPr>
          <w:i/>
          <w:sz w:val="28"/>
          <w:szCs w:val="28"/>
        </w:rPr>
        <w:t xml:space="preserve"> Thành phố</w:t>
      </w:r>
      <w:r w:rsidR="006E5C6B" w:rsidRPr="0076049B">
        <w:rPr>
          <w:i/>
          <w:sz w:val="28"/>
          <w:szCs w:val="28"/>
        </w:rPr>
        <w:t xml:space="preserve"> Hồ Chí Minh</w:t>
      </w:r>
      <w:r w:rsidRPr="0076049B">
        <w:rPr>
          <w:i/>
          <w:sz w:val="28"/>
          <w:szCs w:val="28"/>
        </w:rPr>
        <w:t>)</w:t>
      </w:r>
    </w:p>
    <w:p w:rsidR="00CB0B13" w:rsidRPr="0076049B" w:rsidRDefault="00046C6E" w:rsidP="00521980">
      <w:pPr>
        <w:spacing w:before="120"/>
        <w:jc w:val="center"/>
        <w:rPr>
          <w:i/>
          <w:sz w:val="28"/>
          <w:szCs w:val="28"/>
        </w:rPr>
      </w:pPr>
      <w:r w:rsidRPr="0076049B">
        <w:rPr>
          <w:i/>
          <w:sz w:val="28"/>
          <w:szCs w:val="28"/>
        </w:rPr>
        <mc:AlternateContent>
          <mc:Choice Requires="wps">
            <w:drawing>
              <wp:anchor distT="0" distB="0" distL="114300" distR="114300" simplePos="0" relativeHeight="251658752" behindDoc="0" locked="0" layoutInCell="1" allowOverlap="1">
                <wp:simplePos x="0" y="0"/>
                <wp:positionH relativeFrom="margin">
                  <wp:posOffset>3637915</wp:posOffset>
                </wp:positionH>
                <wp:positionV relativeFrom="paragraph">
                  <wp:posOffset>37465</wp:posOffset>
                </wp:positionV>
                <wp:extent cx="1619885" cy="0"/>
                <wp:effectExtent l="12700" t="5715" r="571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ABBE2" id="AutoShape 11" o:spid="_x0000_s1026" type="#_x0000_t32" style="position:absolute;margin-left:286.45pt;margin-top:2.95pt;width:127.55pt;height: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">
                <w10:wrap anchorx="margin"/>
              </v:shape>
            </w:pict>
          </mc:Fallback>
        </mc:AlternateContent>
      </w:r>
    </w:p>
    <w:p w:rsidR="00CB0B13" w:rsidRPr="0076049B" w:rsidRDefault="00CB0B13" w:rsidP="00DB1B5C">
      <w:pPr>
        <w:spacing w:before="120"/>
        <w:ind w:firstLine="567"/>
        <w:jc w:val="both"/>
        <w:rPr>
          <w:sz w:val="28"/>
          <w:szCs w:val="28"/>
        </w:rPr>
      </w:pPr>
      <w:r w:rsidRPr="0076049B">
        <w:rPr>
          <w:b/>
          <w:sz w:val="28"/>
          <w:szCs w:val="28"/>
        </w:rPr>
        <w:t xml:space="preserve">1. Đối với văn bản sửa đổi, bổ sung, thay thế: </w:t>
      </w:r>
      <w:r w:rsidR="00936E31" w:rsidRPr="00936E31">
        <w:rPr>
          <w:sz w:val="28"/>
          <w:szCs w:val="28"/>
        </w:rPr>
        <w:t>K</w:t>
      </w:r>
      <w:r w:rsidRPr="00936E31">
        <w:rPr>
          <w:sz w:val="28"/>
          <w:szCs w:val="28"/>
        </w:rPr>
        <w:t>hôn</w:t>
      </w:r>
      <w:r w:rsidRPr="0076049B">
        <w:rPr>
          <w:sz w:val="28"/>
          <w:szCs w:val="28"/>
        </w:rPr>
        <w:t>g</w:t>
      </w:r>
      <w:bookmarkStart w:id="0" w:name="_GoBack"/>
      <w:bookmarkEnd w:id="0"/>
      <w:r w:rsidRPr="0076049B">
        <w:rPr>
          <w:sz w:val="28"/>
          <w:szCs w:val="28"/>
        </w:rPr>
        <w:t>.</w:t>
      </w:r>
    </w:p>
    <w:p w:rsidR="00CB0B13" w:rsidRPr="0076049B" w:rsidRDefault="00CB0B13" w:rsidP="00DB1B5C">
      <w:pPr>
        <w:spacing w:before="120"/>
        <w:ind w:firstLine="567"/>
        <w:jc w:val="both"/>
        <w:rPr>
          <w:sz w:val="28"/>
          <w:szCs w:val="28"/>
        </w:rPr>
      </w:pPr>
      <w:r w:rsidRPr="0076049B">
        <w:rPr>
          <w:b/>
          <w:sz w:val="28"/>
          <w:szCs w:val="28"/>
        </w:rPr>
        <w:t>2. Đối với văn bản ban hành mới</w:t>
      </w:r>
    </w:p>
    <w:p w:rsidR="00226425" w:rsidRPr="0076049B" w:rsidRDefault="00334A24" w:rsidP="00DB1B5C">
      <w:pPr>
        <w:spacing w:before="120"/>
        <w:ind w:firstLine="567"/>
        <w:jc w:val="both"/>
        <w:rPr>
          <w:sz w:val="28"/>
          <w:szCs w:val="28"/>
        </w:rPr>
      </w:pPr>
      <w:r w:rsidRPr="00334A24">
        <w:rPr>
          <w:sz w:val="28"/>
          <w:szCs w:val="28"/>
        </w:rPr>
        <w:t>Dự thảo Nghị quyết là văn bản quy phạm pháp luật của Hội đồng nhân dân Thành phố Hồ Chí Minh, được ban hành nhằm cụ thể hóa Khoản 3 và Điểm b Khoản 5 Điều 18 Luật Công nghiệp công nghệ số số 71/2025/QH15 (có hiệu lực thi hành từ ngày 01 tháng 01 năm 2026), quy định: “Địa phương có chính sách hỗ trợ phát triển nhân lực công nghiệp công nghệ số làm việc tại các dự án nghiên cứu, sản xuất sản phẩm công nghệ số trọng điểm, chip bán dẫn, hệ thống trí tuệ nhân tạo” và “Hội đồng nhân dân cấp tỉnh bố trí ngân sách địa phương, quy định tiêu chí, điều kiện, trình tự, thủ tục, nội dung và mức hỗ trợ”. Trước khi ban hành Nghị quyết này, chưa có văn bản quy phạm pháp luật nào của Hội đồng nhân dân Thành phố quy định về các nội dung nêu trên.</w:t>
      </w:r>
    </w:p>
    <w:p w:rsidR="00F428CE" w:rsidRPr="0076049B" w:rsidRDefault="00F428CE" w:rsidP="00521980">
      <w:pPr>
        <w:spacing w:before="120"/>
        <w:ind w:firstLine="709"/>
        <w:jc w:val="both"/>
        <w:rPr>
          <w:rFonts w:eastAsia="Calibri"/>
          <w:bCs/>
          <w:color w:val="FF0000"/>
          <w:spacing w:val="-2"/>
          <w:sz w:val="26"/>
          <w:szCs w:val="26"/>
        </w:rPr>
      </w:pPr>
    </w:p>
    <w:tbl>
      <w:tblPr>
        <w:tblW w:w="148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4190"/>
        <w:gridCol w:w="4281"/>
        <w:gridCol w:w="3219"/>
      </w:tblGrid>
      <w:tr w:rsidR="0076049B" w:rsidRPr="0076049B">
        <w:trPr>
          <w:trHeight w:val="799"/>
          <w:tblHeader/>
        </w:trPr>
        <w:tc>
          <w:tcPr>
            <w:tcW w:w="3153" w:type="dxa"/>
            <w:tcBorders>
              <w:bottom w:val="single" w:sz="4" w:space="0" w:color="auto"/>
            </w:tcBorders>
            <w:shd w:val="clear" w:color="auto" w:fill="F2F2F2"/>
            <w:vAlign w:val="center"/>
          </w:tcPr>
          <w:p w:rsidR="0076049B" w:rsidRPr="0076049B" w:rsidRDefault="0076049B" w:rsidP="0076049B">
            <w:pPr>
              <w:spacing w:before="120"/>
              <w:jc w:val="center"/>
              <w:rPr>
                <w:b/>
                <w:sz w:val="28"/>
                <w:szCs w:val="28"/>
              </w:rPr>
            </w:pPr>
            <w:r w:rsidRPr="0076049B">
              <w:rPr>
                <w:b/>
                <w:sz w:val="28"/>
                <w:szCs w:val="28"/>
              </w:rPr>
              <w:t>QUY PHẠM PHÁP LUẬT HIỆN HÀNH</w:t>
            </w:r>
          </w:p>
        </w:tc>
        <w:tc>
          <w:tcPr>
            <w:tcW w:w="4190" w:type="dxa"/>
            <w:tcBorders>
              <w:bottom w:val="single" w:sz="4" w:space="0" w:color="auto"/>
            </w:tcBorders>
            <w:shd w:val="clear" w:color="auto" w:fill="F2F2F2"/>
            <w:vAlign w:val="center"/>
          </w:tcPr>
          <w:p w:rsidR="0076049B" w:rsidRPr="0076049B" w:rsidRDefault="0076049B" w:rsidP="0076049B">
            <w:pPr>
              <w:spacing w:before="120"/>
              <w:jc w:val="center"/>
              <w:rPr>
                <w:b/>
                <w:sz w:val="28"/>
                <w:szCs w:val="28"/>
              </w:rPr>
            </w:pPr>
            <w:r w:rsidRPr="0076049B">
              <w:rPr>
                <w:b/>
                <w:sz w:val="28"/>
                <w:szCs w:val="28"/>
              </w:rPr>
              <w:t>DỰ THẢO VĂN BẢN</w:t>
            </w:r>
          </w:p>
        </w:tc>
        <w:tc>
          <w:tcPr>
            <w:tcW w:w="4281" w:type="dxa"/>
            <w:tcBorders>
              <w:bottom w:val="single" w:sz="4" w:space="0" w:color="auto"/>
            </w:tcBorders>
            <w:shd w:val="clear" w:color="auto" w:fill="F2F2F2"/>
            <w:vAlign w:val="center"/>
          </w:tcPr>
          <w:p w:rsidR="0076049B" w:rsidRPr="0076049B" w:rsidRDefault="0076049B" w:rsidP="0076049B">
            <w:pPr>
              <w:spacing w:before="120"/>
              <w:ind w:firstLine="34"/>
              <w:jc w:val="center"/>
              <w:rPr>
                <w:b/>
                <w:sz w:val="28"/>
                <w:szCs w:val="28"/>
              </w:rPr>
            </w:pPr>
            <w:r w:rsidRPr="0076049B">
              <w:rPr>
                <w:b/>
                <w:sz w:val="28"/>
                <w:szCs w:val="28"/>
              </w:rPr>
              <w:t>THUYẾT MINH</w:t>
            </w:r>
          </w:p>
        </w:tc>
        <w:tc>
          <w:tcPr>
            <w:tcW w:w="3219" w:type="dxa"/>
            <w:tcBorders>
              <w:bottom w:val="single" w:sz="4" w:space="0" w:color="auto"/>
            </w:tcBorders>
            <w:shd w:val="clear" w:color="auto" w:fill="F2F2F2"/>
            <w:vAlign w:val="center"/>
          </w:tcPr>
          <w:p w:rsidR="0076049B" w:rsidRPr="0076049B" w:rsidRDefault="0076049B" w:rsidP="0076049B">
            <w:pPr>
              <w:spacing w:before="120"/>
              <w:ind w:firstLine="34"/>
              <w:jc w:val="center"/>
              <w:rPr>
                <w:b/>
                <w:sz w:val="28"/>
                <w:szCs w:val="28"/>
              </w:rPr>
            </w:pPr>
            <w:r w:rsidRPr="0076049B">
              <w:rPr>
                <w:b/>
                <w:sz w:val="28"/>
                <w:szCs w:val="28"/>
              </w:rPr>
              <w:t>NỘI DUNG PHÂN CẤP, TTHC, KHCN</w:t>
            </w:r>
            <w:r w:rsidR="009E22C1">
              <w:rPr>
                <w:b/>
                <w:sz w:val="28"/>
                <w:szCs w:val="28"/>
              </w:rPr>
              <w:t>, ĐMST, CĐS</w:t>
            </w:r>
          </w:p>
        </w:tc>
      </w:tr>
      <w:tr w:rsidR="0076049B" w:rsidRPr="0076049B" w:rsidTr="0076049B">
        <w:tc>
          <w:tcPr>
            <w:tcW w:w="11624" w:type="dxa"/>
            <w:gridSpan w:val="3"/>
            <w:vAlign w:val="center"/>
          </w:tcPr>
          <w:p w:rsidR="0076049B" w:rsidRDefault="0076049B" w:rsidP="0076049B">
            <w:pPr>
              <w:spacing w:before="120"/>
              <w:jc w:val="both"/>
              <w:rPr>
                <w:b/>
                <w:bCs/>
                <w:sz w:val="28"/>
                <w:szCs w:val="28"/>
              </w:rPr>
            </w:pPr>
            <w:r w:rsidRPr="0076049B">
              <w:rPr>
                <w:b/>
                <w:bCs/>
                <w:sz w:val="28"/>
                <w:szCs w:val="28"/>
              </w:rPr>
              <w:t>Văn bản ban hành mới</w:t>
            </w:r>
          </w:p>
          <w:p w:rsidR="00936E31" w:rsidRPr="00936E31" w:rsidRDefault="00936E31" w:rsidP="0076049B">
            <w:pPr>
              <w:spacing w:before="120"/>
              <w:jc w:val="both"/>
              <w:rPr>
                <w:b/>
                <w:bCs/>
                <w:sz w:val="14"/>
                <w:szCs w:val="28"/>
              </w:rPr>
            </w:pPr>
          </w:p>
        </w:tc>
        <w:tc>
          <w:tcPr>
            <w:tcW w:w="3219" w:type="dxa"/>
            <w:vAlign w:val="center"/>
          </w:tcPr>
          <w:p w:rsidR="0076049B" w:rsidRPr="0076049B" w:rsidRDefault="0076049B" w:rsidP="0076049B">
            <w:pPr>
              <w:spacing w:before="120"/>
              <w:jc w:val="both"/>
              <w:rPr>
                <w:b/>
                <w:bCs/>
                <w:sz w:val="28"/>
                <w:szCs w:val="28"/>
              </w:rPr>
            </w:pPr>
          </w:p>
        </w:tc>
      </w:tr>
      <w:tr w:rsidR="0076049B" w:rsidRPr="0076049B" w:rsidTr="007636BE">
        <w:tc>
          <w:tcPr>
            <w:tcW w:w="3153" w:type="dxa"/>
          </w:tcPr>
          <w:p w:rsidR="0076049B" w:rsidRPr="0076049B" w:rsidRDefault="0076049B" w:rsidP="0076049B">
            <w:pPr>
              <w:jc w:val="both"/>
              <w:rPr>
                <w:b/>
                <w:bCs/>
                <w:sz w:val="28"/>
                <w:szCs w:val="28"/>
              </w:rPr>
            </w:pPr>
            <w:r w:rsidRPr="0076049B">
              <w:rPr>
                <w:b/>
                <w:bCs/>
                <w:sz w:val="28"/>
                <w:szCs w:val="28"/>
              </w:rPr>
              <w:t xml:space="preserve">Chưa có văn bản quy phạm pháp luật nào </w:t>
            </w:r>
            <w:r w:rsidRPr="0076049B">
              <w:rPr>
                <w:sz w:val="28"/>
                <w:szCs w:val="28"/>
              </w:rPr>
              <w:t xml:space="preserve">của Hội đồng nhân dân Thành </w:t>
            </w:r>
            <w:r w:rsidRPr="0076049B">
              <w:rPr>
                <w:sz w:val="28"/>
                <w:szCs w:val="28"/>
              </w:rPr>
              <w:lastRenderedPageBreak/>
              <w:t>phố quy định về các nội dung này.</w:t>
            </w:r>
          </w:p>
        </w:tc>
        <w:tc>
          <w:tcPr>
            <w:tcW w:w="4190" w:type="dxa"/>
          </w:tcPr>
          <w:p w:rsidR="0076049B" w:rsidRPr="0076049B" w:rsidRDefault="0076049B" w:rsidP="0076049B">
            <w:pPr>
              <w:spacing w:before="100" w:after="100"/>
              <w:jc w:val="both"/>
              <w:rPr>
                <w:b/>
                <w:bCs/>
                <w:sz w:val="28"/>
                <w:szCs w:val="28"/>
              </w:rPr>
            </w:pPr>
            <w:r w:rsidRPr="0076049B">
              <w:rPr>
                <w:b/>
                <w:bCs/>
                <w:sz w:val="28"/>
                <w:szCs w:val="28"/>
              </w:rPr>
              <w:lastRenderedPageBreak/>
              <w:t xml:space="preserve">Điều 1. </w:t>
            </w:r>
            <w:r w:rsidR="007646BF">
              <w:rPr>
                <w:b/>
                <w:bCs/>
                <w:color w:val="000000"/>
                <w:sz w:val="28"/>
                <w:szCs w:val="28"/>
              </w:rPr>
              <w:t>Phạm vi điều chỉnh</w:t>
            </w:r>
          </w:p>
          <w:p w:rsidR="0076049B" w:rsidRPr="001E698C" w:rsidRDefault="00707191" w:rsidP="001E698C">
            <w:pPr>
              <w:spacing w:before="120"/>
              <w:jc w:val="both"/>
              <w:rPr>
                <w:noProof w:val="0"/>
              </w:rPr>
            </w:pPr>
            <w:r w:rsidRPr="00707191">
              <w:rPr>
                <w:sz w:val="28"/>
                <w:szCs w:val="28"/>
              </w:rPr>
              <w:lastRenderedPageBreak/>
              <w:t>Quy định tiêu chí, điều kiện, nội dung, mức hỗ trợ từ ngân sách Thành phố đối với 02 nhóm chính sách: (a) hỗ trợ chi phí thuê nhân lực chất lượng cao; (b) hỗ trợ chi phí đào tạo, đào tạo lại, bồi dưỡng nhân lực. Nguyên tắc: công khai, minh bạch, đúng đối tượng, có điều kiện, gắn kết quả đầu ra; Nhà nước và doanh nghiệp cùng chia sẻ chi phí, rủi ro.</w:t>
            </w:r>
          </w:p>
        </w:tc>
        <w:tc>
          <w:tcPr>
            <w:tcW w:w="4281" w:type="dxa"/>
          </w:tcPr>
          <w:p w:rsidR="0076049B" w:rsidRPr="0076049B" w:rsidRDefault="0076049B" w:rsidP="0076049B">
            <w:pPr>
              <w:spacing w:before="120"/>
              <w:jc w:val="both"/>
              <w:rPr>
                <w:b/>
                <w:bCs/>
                <w:sz w:val="28"/>
                <w:szCs w:val="28"/>
              </w:rPr>
            </w:pPr>
            <w:r w:rsidRPr="0076049B">
              <w:rPr>
                <w:b/>
                <w:bCs/>
                <w:sz w:val="28"/>
                <w:szCs w:val="28"/>
              </w:rPr>
              <w:lastRenderedPageBreak/>
              <w:t>Quy định mới hoàn toàn.</w:t>
            </w:r>
          </w:p>
          <w:p w:rsidR="00707191" w:rsidRPr="00707191" w:rsidRDefault="00707191" w:rsidP="00707191">
            <w:pPr>
              <w:spacing w:before="120"/>
              <w:jc w:val="both"/>
              <w:rPr>
                <w:sz w:val="28"/>
                <w:szCs w:val="28"/>
              </w:rPr>
            </w:pPr>
            <w:r w:rsidRPr="00707191">
              <w:rPr>
                <w:b/>
                <w:sz w:val="28"/>
                <w:szCs w:val="28"/>
              </w:rPr>
              <w:lastRenderedPageBreak/>
              <w:t>Cơ sở pháp lý</w:t>
            </w:r>
            <w:r w:rsidRPr="00707191">
              <w:rPr>
                <w:sz w:val="28"/>
                <w:szCs w:val="28"/>
              </w:rPr>
              <w:t>: Khoản 3 Điều 18 Luật Công nghiệp công nghệ số số 71/2025/QH15.</w:t>
            </w:r>
          </w:p>
          <w:p w:rsidR="00707191" w:rsidRPr="00707191" w:rsidRDefault="00707191" w:rsidP="00707191">
            <w:pPr>
              <w:spacing w:before="120"/>
              <w:jc w:val="both"/>
              <w:rPr>
                <w:sz w:val="28"/>
                <w:szCs w:val="28"/>
              </w:rPr>
            </w:pPr>
            <w:r w:rsidRPr="00707191">
              <w:rPr>
                <w:b/>
                <w:sz w:val="28"/>
                <w:szCs w:val="28"/>
              </w:rPr>
              <w:t>Lý do</w:t>
            </w:r>
            <w:r w:rsidRPr="00707191">
              <w:rPr>
                <w:sz w:val="28"/>
                <w:szCs w:val="28"/>
              </w:rPr>
              <w:t>: Thể chế hóa đúng, đủ phạm vi Luật giao, không mở rộng ngoài 02 nhóm nội dung; khẳng định ngay từ đầu triết lý “đồng đầu tư có kiểm soát” để định hướng toàn bộ các Điều tiếp theo.</w:t>
            </w:r>
          </w:p>
          <w:p w:rsidR="000444A9" w:rsidRPr="000444A9" w:rsidRDefault="00707191" w:rsidP="00707191">
            <w:pPr>
              <w:spacing w:before="120"/>
              <w:jc w:val="both"/>
              <w:rPr>
                <w:sz w:val="28"/>
                <w:szCs w:val="28"/>
              </w:rPr>
            </w:pPr>
            <w:r w:rsidRPr="00707191">
              <w:rPr>
                <w:b/>
                <w:sz w:val="28"/>
                <w:szCs w:val="28"/>
              </w:rPr>
              <w:t>Tác động dự kiến</w:t>
            </w:r>
            <w:r w:rsidRPr="00707191">
              <w:rPr>
                <w:sz w:val="28"/>
                <w:szCs w:val="28"/>
              </w:rPr>
              <w:t xml:space="preserve">: Tạo khung pháp lý minh bạch, tránh cách hiểu dàn trải khi triển khai; là căn cứ để </w:t>
            </w:r>
            <w:r>
              <w:rPr>
                <w:sz w:val="28"/>
                <w:szCs w:val="28"/>
              </w:rPr>
              <w:t xml:space="preserve">đảm bảo </w:t>
            </w:r>
            <w:r w:rsidRPr="00707191">
              <w:rPr>
                <w:sz w:val="28"/>
                <w:szCs w:val="28"/>
              </w:rPr>
              <w:t>về giới hạn phạm vi chi ngân sách.</w:t>
            </w:r>
            <w:r w:rsidR="000444A9">
              <w:rPr>
                <w:sz w:val="28"/>
                <w:szCs w:val="28"/>
              </w:rPr>
              <w:t xml:space="preserve"> </w:t>
            </w:r>
          </w:p>
        </w:tc>
        <w:tc>
          <w:tcPr>
            <w:tcW w:w="3219" w:type="dxa"/>
          </w:tcPr>
          <w:p w:rsidR="0076049B" w:rsidRPr="0076049B" w:rsidRDefault="00162105" w:rsidP="001E698C">
            <w:pPr>
              <w:spacing w:before="120"/>
              <w:jc w:val="both"/>
              <w:rPr>
                <w:sz w:val="28"/>
                <w:szCs w:val="28"/>
              </w:rPr>
            </w:pPr>
            <w:r w:rsidRPr="00162105">
              <w:rPr>
                <w:sz w:val="28"/>
                <w:szCs w:val="28"/>
              </w:rPr>
              <w:lastRenderedPageBreak/>
              <w:t>Thúc đẩy phát triển KHCN &amp; ĐMST; không phát sinh TTHC tại Điều này.</w:t>
            </w:r>
          </w:p>
        </w:tc>
      </w:tr>
      <w:tr w:rsidR="0076049B" w:rsidRPr="0076049B" w:rsidTr="007636BE">
        <w:tc>
          <w:tcPr>
            <w:tcW w:w="3153" w:type="dxa"/>
          </w:tcPr>
          <w:p w:rsidR="0076049B" w:rsidRPr="0076049B" w:rsidRDefault="0076049B" w:rsidP="0076049B">
            <w:pPr>
              <w:spacing w:before="120"/>
              <w:jc w:val="both"/>
              <w:rPr>
                <w:sz w:val="28"/>
                <w:szCs w:val="28"/>
              </w:rPr>
            </w:pPr>
            <w:r w:rsidRPr="0076049B">
              <w:rPr>
                <w:b/>
                <w:bCs/>
                <w:sz w:val="28"/>
                <w:szCs w:val="28"/>
              </w:rPr>
              <w:t xml:space="preserve">Chưa có văn bản quy phạm pháp luật nào </w:t>
            </w:r>
            <w:r w:rsidRPr="0076049B">
              <w:rPr>
                <w:sz w:val="28"/>
                <w:szCs w:val="28"/>
              </w:rPr>
              <w:t>của Hội đồng nhân dân Thành phố quy định về các nội dung này.</w:t>
            </w:r>
          </w:p>
        </w:tc>
        <w:tc>
          <w:tcPr>
            <w:tcW w:w="4190" w:type="dxa"/>
          </w:tcPr>
          <w:p w:rsidR="0076049B" w:rsidRPr="0076049B" w:rsidRDefault="0076049B" w:rsidP="0076049B">
            <w:pPr>
              <w:spacing w:before="100" w:after="100"/>
              <w:jc w:val="both"/>
              <w:rPr>
                <w:b/>
                <w:bCs/>
                <w:sz w:val="28"/>
                <w:szCs w:val="28"/>
              </w:rPr>
            </w:pPr>
            <w:r w:rsidRPr="0076049B">
              <w:rPr>
                <w:b/>
                <w:bCs/>
                <w:sz w:val="28"/>
                <w:szCs w:val="28"/>
              </w:rPr>
              <w:t xml:space="preserve">Điều 2. </w:t>
            </w:r>
            <w:r w:rsidR="0068537E" w:rsidRPr="0068537E">
              <w:rPr>
                <w:b/>
                <w:bCs/>
                <w:sz w:val="28"/>
                <w:szCs w:val="28"/>
              </w:rPr>
              <w:t>Đối tượng áp dụng</w:t>
            </w:r>
          </w:p>
          <w:p w:rsidR="000444A9" w:rsidRPr="007636BE" w:rsidRDefault="007636BE" w:rsidP="007636BE">
            <w:pPr>
              <w:spacing w:before="120"/>
              <w:jc w:val="both"/>
              <w:rPr>
                <w:sz w:val="28"/>
                <w:szCs w:val="28"/>
              </w:rPr>
            </w:pPr>
            <w:r w:rsidRPr="007636BE">
              <w:rPr>
                <w:sz w:val="28"/>
                <w:szCs w:val="28"/>
              </w:rPr>
              <w:t>Doanh nghiệp kê khai, nộp thuế tại TP.HCM, là chủ đầu tư/đơn vị chủ trì dự án; Chuyên gia là người Việt Nam, người Việt Nam ở nước ngoài hoặc người nước ngoài, đáp ứng tiêu chí Nghị định số 353/2025/NĐ-CP.</w:t>
            </w:r>
          </w:p>
        </w:tc>
        <w:tc>
          <w:tcPr>
            <w:tcW w:w="4281" w:type="dxa"/>
          </w:tcPr>
          <w:p w:rsidR="0076049B" w:rsidRPr="0076049B" w:rsidRDefault="0076049B" w:rsidP="0076049B">
            <w:pPr>
              <w:spacing w:before="120"/>
              <w:jc w:val="both"/>
              <w:rPr>
                <w:b/>
                <w:bCs/>
                <w:sz w:val="28"/>
                <w:szCs w:val="28"/>
              </w:rPr>
            </w:pPr>
            <w:r w:rsidRPr="0076049B">
              <w:rPr>
                <w:b/>
                <w:bCs/>
                <w:sz w:val="28"/>
                <w:szCs w:val="28"/>
              </w:rPr>
              <w:t>Quy định mới hoàn toàn.</w:t>
            </w:r>
          </w:p>
          <w:p w:rsidR="007636BE" w:rsidRPr="007636BE" w:rsidRDefault="007636BE" w:rsidP="007636BE">
            <w:pPr>
              <w:spacing w:before="120"/>
              <w:jc w:val="both"/>
              <w:rPr>
                <w:sz w:val="28"/>
                <w:szCs w:val="28"/>
              </w:rPr>
            </w:pPr>
            <w:r w:rsidRPr="007636BE">
              <w:rPr>
                <w:b/>
                <w:sz w:val="28"/>
                <w:szCs w:val="28"/>
              </w:rPr>
              <w:t>Cơ sở pháp lý</w:t>
            </w:r>
            <w:r w:rsidRPr="007636BE">
              <w:rPr>
                <w:sz w:val="28"/>
                <w:szCs w:val="28"/>
              </w:rPr>
              <w:t>: Nghị định số 353/2025/NĐ-CP (quy định chi tiết Luật Công nghiệp công nghệ số).</w:t>
            </w:r>
          </w:p>
          <w:p w:rsidR="007636BE" w:rsidRPr="007636BE" w:rsidRDefault="007636BE" w:rsidP="007636BE">
            <w:pPr>
              <w:spacing w:before="120"/>
              <w:jc w:val="both"/>
              <w:rPr>
                <w:sz w:val="28"/>
                <w:szCs w:val="28"/>
              </w:rPr>
            </w:pPr>
            <w:r w:rsidRPr="007636BE">
              <w:rPr>
                <w:b/>
                <w:sz w:val="28"/>
                <w:szCs w:val="28"/>
              </w:rPr>
              <w:t>Lý do</w:t>
            </w:r>
            <w:r w:rsidRPr="007636BE">
              <w:rPr>
                <w:sz w:val="28"/>
                <w:szCs w:val="28"/>
              </w:rPr>
              <w:t xml:space="preserve">: Mở rộng đối tượng không phân biệt quốc tịch để tiếp cận nguồn nhân lực chất lượng cao toàn cầu trong lĩnh vực bán dẫn, AI; đồng thời giới hạn “kê khai, nộp thuế tại </w:t>
            </w:r>
            <w:r w:rsidRPr="007636BE">
              <w:rPr>
                <w:sz w:val="28"/>
                <w:szCs w:val="28"/>
              </w:rPr>
              <w:lastRenderedPageBreak/>
              <w:t>TP.HCM” để tránh doanh nghiệp đăng ký “ảo”.</w:t>
            </w:r>
          </w:p>
          <w:p w:rsidR="000444A9" w:rsidRPr="0076049B" w:rsidRDefault="007636BE" w:rsidP="007636BE">
            <w:pPr>
              <w:spacing w:before="120"/>
              <w:jc w:val="both"/>
              <w:rPr>
                <w:sz w:val="28"/>
                <w:szCs w:val="28"/>
              </w:rPr>
            </w:pPr>
            <w:r w:rsidRPr="007636BE">
              <w:rPr>
                <w:b/>
                <w:sz w:val="28"/>
                <w:szCs w:val="28"/>
              </w:rPr>
              <w:t>Tác động dự kiến</w:t>
            </w:r>
            <w:r w:rsidRPr="007636BE">
              <w:rPr>
                <w:sz w:val="28"/>
                <w:szCs w:val="28"/>
              </w:rPr>
              <w:t>: Tăng khả năng thu hút chuyên gia quốc tế, hạn chế rủi ro trục lợi chính sách từ doanh nghiệp không có hoạt động thực chất tại Thành phố.</w:t>
            </w:r>
          </w:p>
        </w:tc>
        <w:tc>
          <w:tcPr>
            <w:tcW w:w="3219" w:type="dxa"/>
          </w:tcPr>
          <w:p w:rsidR="0076049B" w:rsidRPr="0076049B" w:rsidRDefault="002E1D05" w:rsidP="0076049B">
            <w:pPr>
              <w:spacing w:before="120"/>
              <w:jc w:val="both"/>
              <w:rPr>
                <w:sz w:val="28"/>
                <w:szCs w:val="28"/>
              </w:rPr>
            </w:pPr>
            <w:r w:rsidRPr="002E1D05">
              <w:rPr>
                <w:sz w:val="28"/>
                <w:szCs w:val="28"/>
              </w:rPr>
              <w:lastRenderedPageBreak/>
              <w:t>Mở rộng khả năng tiếp cận nguồn nhân lực chất lượng cao quốc tế; không phát sinh TTHC riêng.</w:t>
            </w:r>
          </w:p>
        </w:tc>
      </w:tr>
      <w:tr w:rsidR="0076049B" w:rsidRPr="007646BF" w:rsidTr="00602239">
        <w:tc>
          <w:tcPr>
            <w:tcW w:w="3153" w:type="dxa"/>
          </w:tcPr>
          <w:p w:rsidR="0076049B" w:rsidRPr="0076049B" w:rsidRDefault="0076049B" w:rsidP="0076049B">
            <w:pPr>
              <w:spacing w:before="120"/>
              <w:jc w:val="both"/>
              <w:rPr>
                <w:b/>
                <w:bCs/>
                <w:sz w:val="28"/>
                <w:szCs w:val="28"/>
              </w:rPr>
            </w:pPr>
            <w:r w:rsidRPr="0076049B">
              <w:rPr>
                <w:b/>
                <w:bCs/>
                <w:sz w:val="28"/>
                <w:szCs w:val="28"/>
              </w:rPr>
              <w:t xml:space="preserve">Chưa có văn bản quy phạm pháp luật nào </w:t>
            </w:r>
            <w:r w:rsidRPr="0076049B">
              <w:rPr>
                <w:sz w:val="28"/>
                <w:szCs w:val="28"/>
              </w:rPr>
              <w:t>của Hội đồng nhân dân Thành phố quy định về các nội dung này.</w:t>
            </w:r>
          </w:p>
        </w:tc>
        <w:tc>
          <w:tcPr>
            <w:tcW w:w="4190" w:type="dxa"/>
          </w:tcPr>
          <w:p w:rsidR="0076049B" w:rsidRPr="0076049B" w:rsidRDefault="0076049B" w:rsidP="0076049B">
            <w:pPr>
              <w:tabs>
                <w:tab w:val="left" w:pos="851"/>
              </w:tabs>
              <w:spacing w:before="120"/>
              <w:jc w:val="both"/>
              <w:rPr>
                <w:b/>
                <w:bCs/>
                <w:sz w:val="28"/>
                <w:szCs w:val="28"/>
                <w:lang w:val="vi-VN"/>
              </w:rPr>
            </w:pPr>
            <w:r w:rsidRPr="0076049B">
              <w:rPr>
                <w:b/>
                <w:bCs/>
                <w:sz w:val="28"/>
                <w:szCs w:val="28"/>
                <w:lang w:val="vi-VN"/>
              </w:rPr>
              <w:t xml:space="preserve">Điều 3. </w:t>
            </w:r>
            <w:r w:rsidR="00F75DAF" w:rsidRPr="009822FB">
              <w:rPr>
                <w:b/>
                <w:color w:val="1B1C1D"/>
                <w:sz w:val="28"/>
                <w:szCs w:val="28"/>
              </w:rPr>
              <w:t>Tiêu chí xác định hỗ trợ phát triển nhân lực công nghiệp công nghệ số làm việc tại các dự án nghiên cứu, sản xuất sản phẩm công nghệ số trọng điểm, chip bán dẫn, hệ thống trí tuệ nhân tạo</w:t>
            </w:r>
          </w:p>
          <w:p w:rsidR="0076049B" w:rsidRPr="00A05518" w:rsidRDefault="005678E6" w:rsidP="000444A9">
            <w:pPr>
              <w:spacing w:before="120"/>
              <w:jc w:val="both"/>
              <w:rPr>
                <w:sz w:val="28"/>
                <w:szCs w:val="28"/>
                <w:lang w:val="vi-VN"/>
              </w:rPr>
            </w:pPr>
            <w:r w:rsidRPr="005678E6">
              <w:rPr>
                <w:sz w:val="28"/>
                <w:szCs w:val="28"/>
                <w:lang w:val="vi-VN"/>
              </w:rPr>
              <w:t>Dự án được hỗ trợ khi đáp ứng đồng thời 04 tiêu chí: (1) thuộc Danh mục sản phẩm, dịch vụ công nghệ số trọng điểm; (2) triển khai thực tế tại TP.HCM; (3) có thuyết minh, kế hoạch nhân lực cụ thể; (4) có tính khả thi và khả năng thương mại hóa.</w:t>
            </w:r>
          </w:p>
        </w:tc>
        <w:tc>
          <w:tcPr>
            <w:tcW w:w="4281" w:type="dxa"/>
          </w:tcPr>
          <w:p w:rsidR="0076049B" w:rsidRPr="00A05518" w:rsidRDefault="0076049B" w:rsidP="0076049B">
            <w:pPr>
              <w:spacing w:before="120"/>
              <w:jc w:val="both"/>
              <w:rPr>
                <w:b/>
                <w:bCs/>
                <w:sz w:val="28"/>
                <w:szCs w:val="28"/>
                <w:lang w:val="vi-VN"/>
              </w:rPr>
            </w:pPr>
            <w:r w:rsidRPr="00A05518">
              <w:rPr>
                <w:b/>
                <w:bCs/>
                <w:sz w:val="28"/>
                <w:szCs w:val="28"/>
                <w:lang w:val="vi-VN"/>
              </w:rPr>
              <w:t>Quy định mới hoàn toàn.</w:t>
            </w:r>
          </w:p>
          <w:p w:rsidR="00396895" w:rsidRPr="00396895" w:rsidRDefault="00396895" w:rsidP="00396895">
            <w:pPr>
              <w:spacing w:before="120"/>
              <w:jc w:val="both"/>
              <w:rPr>
                <w:sz w:val="28"/>
                <w:szCs w:val="28"/>
                <w:lang w:val="vi-VN"/>
              </w:rPr>
            </w:pPr>
            <w:r w:rsidRPr="00396895">
              <w:rPr>
                <w:b/>
                <w:sz w:val="28"/>
                <w:szCs w:val="28"/>
                <w:lang w:val="vi-VN"/>
              </w:rPr>
              <w:t>Cơ sở pháp lý</w:t>
            </w:r>
            <w:r w:rsidRPr="00396895">
              <w:rPr>
                <w:sz w:val="28"/>
                <w:szCs w:val="28"/>
                <w:lang w:val="vi-VN"/>
              </w:rPr>
              <w:t>: Khoản 3 Điều 18 Luật Công nghiệp công nghệ số.</w:t>
            </w:r>
          </w:p>
          <w:p w:rsidR="00396895" w:rsidRPr="00396895" w:rsidRDefault="00396895" w:rsidP="00396895">
            <w:pPr>
              <w:spacing w:before="120"/>
              <w:jc w:val="both"/>
              <w:rPr>
                <w:sz w:val="28"/>
                <w:szCs w:val="28"/>
                <w:lang w:val="vi-VN"/>
              </w:rPr>
            </w:pPr>
            <w:r w:rsidRPr="00396895">
              <w:rPr>
                <w:b/>
                <w:sz w:val="28"/>
                <w:szCs w:val="28"/>
                <w:lang w:val="vi-VN"/>
              </w:rPr>
              <w:t>Lý do</w:t>
            </w:r>
            <w:r w:rsidRPr="00396895">
              <w:rPr>
                <w:sz w:val="28"/>
                <w:szCs w:val="28"/>
                <w:lang w:val="vi-VN"/>
              </w:rPr>
              <w:t>: 04 lớp tiêu chí sàng lọc theo logic tầng bậc, bảo đảm chỉ hỗ trợ dự án có hàm lượng công nghệ thực chất, loại trừ hoạt động CNTT thông thường.</w:t>
            </w:r>
          </w:p>
          <w:p w:rsidR="00685549" w:rsidRPr="00685549" w:rsidRDefault="00396895" w:rsidP="00396895">
            <w:pPr>
              <w:spacing w:before="120"/>
              <w:jc w:val="both"/>
              <w:rPr>
                <w:sz w:val="28"/>
                <w:szCs w:val="28"/>
                <w:lang w:val="vi-VN"/>
              </w:rPr>
            </w:pPr>
            <w:r w:rsidRPr="00396895">
              <w:rPr>
                <w:b/>
                <w:sz w:val="28"/>
                <w:szCs w:val="28"/>
                <w:lang w:val="vi-VN"/>
              </w:rPr>
              <w:t>Tác động dự kiến</w:t>
            </w:r>
            <w:r w:rsidRPr="00396895">
              <w:rPr>
                <w:sz w:val="28"/>
                <w:szCs w:val="28"/>
                <w:lang w:val="vi-VN"/>
              </w:rPr>
              <w:t>: Tập trung nguồn lực ngân sách vào dự án tạo giá trị gia tăng cao, hạn chế bị chất vấn về tính dàn trải chính sách khi thẩm tra.</w:t>
            </w:r>
          </w:p>
        </w:tc>
        <w:tc>
          <w:tcPr>
            <w:tcW w:w="3219" w:type="dxa"/>
          </w:tcPr>
          <w:p w:rsidR="0076049B" w:rsidRPr="0099735F" w:rsidRDefault="00701EAD" w:rsidP="0099735F">
            <w:pPr>
              <w:spacing w:before="120"/>
              <w:jc w:val="both"/>
              <w:rPr>
                <w:sz w:val="28"/>
                <w:szCs w:val="28"/>
              </w:rPr>
            </w:pPr>
            <w:r w:rsidRPr="00701EAD">
              <w:rPr>
                <w:sz w:val="28"/>
                <w:szCs w:val="28"/>
                <w:lang w:val="vi-VN"/>
              </w:rPr>
              <w:t>Thúc đẩy phát triển KHCN &amp; ĐMST; việc đánh giá tiêu chí tích hợp trong quy trình thẩm định tại Điều 6, không phát sinh TTHC mới.</w:t>
            </w:r>
          </w:p>
        </w:tc>
      </w:tr>
      <w:tr w:rsidR="0076049B" w:rsidRPr="007646BF" w:rsidTr="00602239">
        <w:tc>
          <w:tcPr>
            <w:tcW w:w="3153" w:type="dxa"/>
          </w:tcPr>
          <w:p w:rsidR="0076049B" w:rsidRPr="00A05518" w:rsidRDefault="0076049B" w:rsidP="0076049B">
            <w:pPr>
              <w:spacing w:before="120"/>
              <w:jc w:val="both"/>
              <w:rPr>
                <w:sz w:val="28"/>
                <w:szCs w:val="28"/>
                <w:lang w:val="vi-VN"/>
              </w:rPr>
            </w:pPr>
            <w:r w:rsidRPr="00A05518">
              <w:rPr>
                <w:b/>
                <w:bCs/>
                <w:sz w:val="28"/>
                <w:szCs w:val="28"/>
                <w:lang w:val="vi-VN"/>
              </w:rPr>
              <w:t xml:space="preserve">Chưa có văn bản quy phạm pháp luật nào </w:t>
            </w:r>
            <w:r w:rsidRPr="00A05518">
              <w:rPr>
                <w:sz w:val="28"/>
                <w:szCs w:val="28"/>
                <w:lang w:val="vi-VN"/>
              </w:rPr>
              <w:t xml:space="preserve">của Hội đồng nhân dân Thành </w:t>
            </w:r>
            <w:r w:rsidRPr="00A05518">
              <w:rPr>
                <w:sz w:val="28"/>
                <w:szCs w:val="28"/>
                <w:lang w:val="vi-VN"/>
              </w:rPr>
              <w:lastRenderedPageBreak/>
              <w:t>phố quy định về các nội dung này.</w:t>
            </w:r>
          </w:p>
        </w:tc>
        <w:tc>
          <w:tcPr>
            <w:tcW w:w="4190" w:type="dxa"/>
          </w:tcPr>
          <w:p w:rsidR="0076049B" w:rsidRPr="009822FB" w:rsidRDefault="0076049B" w:rsidP="0076049B">
            <w:pPr>
              <w:spacing w:before="100" w:after="100"/>
              <w:jc w:val="both"/>
              <w:rPr>
                <w:b/>
                <w:bCs/>
                <w:sz w:val="28"/>
                <w:szCs w:val="28"/>
                <w:lang w:val="vi-VN"/>
              </w:rPr>
            </w:pPr>
            <w:r w:rsidRPr="009822FB">
              <w:rPr>
                <w:b/>
                <w:bCs/>
                <w:sz w:val="28"/>
                <w:szCs w:val="28"/>
                <w:lang w:val="vi-VN"/>
              </w:rPr>
              <w:lastRenderedPageBreak/>
              <w:t xml:space="preserve">Điều 4. </w:t>
            </w:r>
            <w:r w:rsidR="009822FB" w:rsidRPr="009822FB">
              <w:rPr>
                <w:b/>
                <w:color w:val="1B1C1D"/>
                <w:sz w:val="28"/>
                <w:szCs w:val="28"/>
              </w:rPr>
              <w:t xml:space="preserve">Điều kiện hỗ trợ phát triển nhân lực công nghiệp công nghệ số làm việc tại các dự án nghiên cứu, sản xuất sản phẩm </w:t>
            </w:r>
            <w:r w:rsidR="009822FB" w:rsidRPr="009822FB">
              <w:rPr>
                <w:b/>
                <w:color w:val="1B1C1D"/>
                <w:sz w:val="28"/>
                <w:szCs w:val="28"/>
              </w:rPr>
              <w:lastRenderedPageBreak/>
              <w:t>công nghệ số trọng điểm, chip bán dẫn, hệ thống trí tuệ nhân tạo</w:t>
            </w:r>
          </w:p>
          <w:p w:rsidR="0076049B" w:rsidRPr="00176658" w:rsidRDefault="0006254A" w:rsidP="00176658">
            <w:pPr>
              <w:spacing w:before="100" w:after="100"/>
              <w:jc w:val="both"/>
              <w:rPr>
                <w:sz w:val="28"/>
                <w:szCs w:val="28"/>
                <w:lang w:val="vi-VN"/>
              </w:rPr>
            </w:pPr>
            <w:r w:rsidRPr="0006254A">
              <w:rPr>
                <w:sz w:val="28"/>
                <w:szCs w:val="28"/>
                <w:lang w:val="vi-VN"/>
              </w:rPr>
              <w:t>Tuân thủ pháp luật thuế, BHXH (riêng chuyên gia nước ngoài phải có cư trú hợp pháp); không hỗ trợ trùng lặp nội dung chi; hồ sơ được thẩm định đạt yêu cầu; hỗ trợ sau khi doanh nghiệp đã thực tế chi trả, có chứng từ hợp lệ.</w:t>
            </w:r>
          </w:p>
        </w:tc>
        <w:tc>
          <w:tcPr>
            <w:tcW w:w="4281" w:type="dxa"/>
          </w:tcPr>
          <w:p w:rsidR="001B2072" w:rsidRPr="00A05518" w:rsidRDefault="001B2072" w:rsidP="001B2072">
            <w:pPr>
              <w:spacing w:before="120"/>
              <w:jc w:val="both"/>
              <w:rPr>
                <w:b/>
                <w:bCs/>
                <w:sz w:val="28"/>
                <w:szCs w:val="28"/>
                <w:lang w:val="vi-VN"/>
              </w:rPr>
            </w:pPr>
            <w:r w:rsidRPr="00A05518">
              <w:rPr>
                <w:b/>
                <w:bCs/>
                <w:sz w:val="28"/>
                <w:szCs w:val="28"/>
                <w:lang w:val="vi-VN"/>
              </w:rPr>
              <w:lastRenderedPageBreak/>
              <w:t>Quy định mới hoàn toàn.</w:t>
            </w:r>
          </w:p>
          <w:p w:rsidR="001B2072" w:rsidRPr="001B2072" w:rsidRDefault="001B2072" w:rsidP="001B2072">
            <w:pPr>
              <w:spacing w:before="120"/>
              <w:jc w:val="both"/>
              <w:rPr>
                <w:sz w:val="28"/>
                <w:szCs w:val="28"/>
                <w:lang w:val="vi-VN"/>
              </w:rPr>
            </w:pPr>
            <w:r w:rsidRPr="001B2072">
              <w:rPr>
                <w:b/>
                <w:sz w:val="28"/>
                <w:szCs w:val="28"/>
                <w:lang w:val="vi-VN"/>
              </w:rPr>
              <w:t>Cơ sở pháp lý</w:t>
            </w:r>
            <w:r w:rsidRPr="001B2072">
              <w:rPr>
                <w:sz w:val="28"/>
                <w:szCs w:val="28"/>
                <w:lang w:val="vi-VN"/>
              </w:rPr>
              <w:t xml:space="preserve">: Điểm b Khoản 5 Điều 18 Luật Công nghiệp công </w:t>
            </w:r>
            <w:r w:rsidRPr="001B2072">
              <w:rPr>
                <w:sz w:val="28"/>
                <w:szCs w:val="28"/>
                <w:lang w:val="vi-VN"/>
              </w:rPr>
              <w:lastRenderedPageBreak/>
              <w:t>nghệ số (HĐND quy định điều kiện hỗ trợ).</w:t>
            </w:r>
          </w:p>
          <w:p w:rsidR="001B2072" w:rsidRPr="001B2072" w:rsidRDefault="001B2072" w:rsidP="001B2072">
            <w:pPr>
              <w:spacing w:before="120"/>
              <w:jc w:val="both"/>
              <w:rPr>
                <w:sz w:val="28"/>
                <w:szCs w:val="28"/>
                <w:lang w:val="vi-VN"/>
              </w:rPr>
            </w:pPr>
            <w:r w:rsidRPr="001B2072">
              <w:rPr>
                <w:b/>
                <w:sz w:val="28"/>
                <w:szCs w:val="28"/>
                <w:lang w:val="vi-VN"/>
              </w:rPr>
              <w:t>Lý do</w:t>
            </w:r>
            <w:r w:rsidRPr="001B2072">
              <w:rPr>
                <w:sz w:val="28"/>
                <w:szCs w:val="28"/>
                <w:lang w:val="vi-VN"/>
              </w:rPr>
              <w:t>: Gộp nguyên tắc kiểm soát rủi ro tài chính vào ngay Điều kiện hỗ trợ (thay vì tách riêng thành Điều “Quản lý rủi ro” như bản cũ 8 Điều), giúp cấu trúc gọn, logic hơn.</w:t>
            </w:r>
          </w:p>
          <w:p w:rsidR="0076049B" w:rsidRPr="00A05518" w:rsidRDefault="001B2072" w:rsidP="001B2072">
            <w:pPr>
              <w:spacing w:before="120"/>
              <w:jc w:val="both"/>
              <w:rPr>
                <w:sz w:val="28"/>
                <w:szCs w:val="28"/>
                <w:lang w:val="vi-VN"/>
              </w:rPr>
            </w:pPr>
            <w:r w:rsidRPr="001B2072">
              <w:rPr>
                <w:b/>
                <w:sz w:val="28"/>
                <w:szCs w:val="28"/>
                <w:lang w:val="vi-VN"/>
              </w:rPr>
              <w:t>Tác động dự kiến</w:t>
            </w:r>
            <w:r w:rsidRPr="001B2072">
              <w:rPr>
                <w:sz w:val="28"/>
                <w:szCs w:val="28"/>
                <w:lang w:val="vi-VN"/>
              </w:rPr>
              <w:t>: Ngân sách chỉ giải ngân khi có kết quả thực chi rõ ràng; tạo cơ sở pháp lý để cán bộ tham mưu yên tâm thực hiện nhiệm vụ.</w:t>
            </w:r>
          </w:p>
        </w:tc>
        <w:tc>
          <w:tcPr>
            <w:tcW w:w="3219" w:type="dxa"/>
          </w:tcPr>
          <w:p w:rsidR="0076049B" w:rsidRPr="00A05518" w:rsidRDefault="000D51EE" w:rsidP="00176658">
            <w:pPr>
              <w:spacing w:before="120"/>
              <w:jc w:val="both"/>
              <w:rPr>
                <w:sz w:val="28"/>
                <w:szCs w:val="28"/>
                <w:lang w:val="vi-VN"/>
              </w:rPr>
            </w:pPr>
            <w:r>
              <w:rPr>
                <w:sz w:val="28"/>
                <w:szCs w:val="28"/>
              </w:rPr>
              <w:lastRenderedPageBreak/>
              <w:t xml:space="preserve">Không phát sinh TTHC mới. </w:t>
            </w:r>
            <w:r w:rsidR="009218DB">
              <w:rPr>
                <w:sz w:val="28"/>
                <w:szCs w:val="28"/>
              </w:rPr>
              <w:t>G</w:t>
            </w:r>
            <w:r w:rsidR="009218DB" w:rsidRPr="009218DB">
              <w:rPr>
                <w:sz w:val="28"/>
                <w:szCs w:val="28"/>
                <w:lang w:val="vi-VN"/>
              </w:rPr>
              <w:t xml:space="preserve">óp phần kiểm soát chặt chẽ sử dụng ngân sách </w:t>
            </w:r>
            <w:r w:rsidR="009218DB" w:rsidRPr="009218DB">
              <w:rPr>
                <w:sz w:val="28"/>
                <w:szCs w:val="28"/>
                <w:lang w:val="vi-VN"/>
              </w:rPr>
              <w:lastRenderedPageBreak/>
              <w:t>theo Luật Ngân sách nhà nước.</w:t>
            </w:r>
          </w:p>
        </w:tc>
      </w:tr>
      <w:tr w:rsidR="0076049B" w:rsidRPr="007646BF" w:rsidTr="00F733E6">
        <w:tc>
          <w:tcPr>
            <w:tcW w:w="3153" w:type="dxa"/>
          </w:tcPr>
          <w:p w:rsidR="0076049B" w:rsidRPr="00A05518" w:rsidRDefault="0076049B" w:rsidP="0076049B">
            <w:pPr>
              <w:spacing w:before="120"/>
              <w:jc w:val="both"/>
              <w:rPr>
                <w:sz w:val="28"/>
                <w:szCs w:val="28"/>
                <w:lang w:val="vi-VN"/>
              </w:rPr>
            </w:pPr>
            <w:r w:rsidRPr="00A05518">
              <w:rPr>
                <w:b/>
                <w:bCs/>
                <w:sz w:val="28"/>
                <w:szCs w:val="28"/>
                <w:lang w:val="vi-VN"/>
              </w:rPr>
              <w:lastRenderedPageBreak/>
              <w:t xml:space="preserve">Chưa có văn bản quy phạm pháp luật nào </w:t>
            </w:r>
            <w:r w:rsidRPr="00A05518">
              <w:rPr>
                <w:sz w:val="28"/>
                <w:szCs w:val="28"/>
                <w:lang w:val="vi-VN"/>
              </w:rPr>
              <w:t>của Hội đồng nhân dân Thành phố quy định về các nội dung này.</w:t>
            </w:r>
          </w:p>
        </w:tc>
        <w:tc>
          <w:tcPr>
            <w:tcW w:w="4190" w:type="dxa"/>
          </w:tcPr>
          <w:p w:rsidR="0076049B" w:rsidRPr="00AF5F60" w:rsidRDefault="0076049B" w:rsidP="0076049B">
            <w:pPr>
              <w:widowControl w:val="0"/>
              <w:shd w:val="clear" w:color="auto" w:fill="FFFFFF"/>
              <w:spacing w:before="100" w:after="100"/>
              <w:jc w:val="both"/>
              <w:rPr>
                <w:b/>
                <w:bCs/>
                <w:sz w:val="28"/>
                <w:szCs w:val="28"/>
                <w:shd w:val="clear" w:color="auto" w:fill="FFFFFF"/>
                <w:lang w:val="vi-VN"/>
              </w:rPr>
            </w:pPr>
            <w:r w:rsidRPr="00A05518">
              <w:rPr>
                <w:b/>
                <w:bCs/>
                <w:sz w:val="28"/>
                <w:szCs w:val="28"/>
                <w:shd w:val="clear" w:color="auto" w:fill="FFFFFF"/>
                <w:lang w:val="vi-VN"/>
              </w:rPr>
              <w:t xml:space="preserve">Điều 5. </w:t>
            </w:r>
            <w:r w:rsidR="00602239" w:rsidRPr="00602239">
              <w:rPr>
                <w:b/>
                <w:bCs/>
                <w:sz w:val="28"/>
                <w:szCs w:val="28"/>
                <w:shd w:val="clear" w:color="auto" w:fill="FFFFFF"/>
                <w:lang w:val="vi-VN"/>
              </w:rPr>
              <w:t>Nội dung và mức hỗ trợ</w:t>
            </w:r>
          </w:p>
          <w:p w:rsidR="00602239" w:rsidRPr="00602239" w:rsidRDefault="00602239" w:rsidP="00602239">
            <w:pPr>
              <w:widowControl w:val="0"/>
              <w:shd w:val="clear" w:color="auto" w:fill="FFFFFF"/>
              <w:spacing w:before="100" w:after="100"/>
              <w:jc w:val="both"/>
              <w:rPr>
                <w:sz w:val="28"/>
                <w:szCs w:val="28"/>
                <w:shd w:val="clear" w:color="auto" w:fill="FFFFFF"/>
                <w:lang w:val="vi-VN"/>
              </w:rPr>
            </w:pPr>
            <w:r w:rsidRPr="00602239">
              <w:rPr>
                <w:sz w:val="28"/>
                <w:szCs w:val="28"/>
                <w:shd w:val="clear" w:color="auto" w:fill="FFFFFF"/>
                <w:lang w:val="vi-VN"/>
              </w:rPr>
              <w:t>(1) Thuê nhân lực: 50% chi phí, tối đa 60.000.000 đồng/người/tháng, tối đa 36 tháng, tối đa 05 người/dự án.</w:t>
            </w:r>
          </w:p>
          <w:p w:rsidR="00176658" w:rsidRPr="00176658" w:rsidRDefault="00602239" w:rsidP="00602239">
            <w:pPr>
              <w:widowControl w:val="0"/>
              <w:shd w:val="clear" w:color="auto" w:fill="FFFFFF"/>
              <w:spacing w:before="100" w:after="100"/>
              <w:jc w:val="both"/>
              <w:rPr>
                <w:sz w:val="28"/>
                <w:szCs w:val="28"/>
                <w:shd w:val="clear" w:color="auto" w:fill="FFFFFF"/>
                <w:lang w:val="vi-VN"/>
              </w:rPr>
            </w:pPr>
            <w:r w:rsidRPr="00602239">
              <w:rPr>
                <w:sz w:val="28"/>
                <w:szCs w:val="28"/>
                <w:shd w:val="clear" w:color="auto" w:fill="FFFFFF"/>
                <w:lang w:val="vi-VN"/>
              </w:rPr>
              <w:t>(2) Đào tạo: 50% chi phí, tối đa 150.000.000 đồng/người/khóa.</w:t>
            </w:r>
          </w:p>
        </w:tc>
        <w:tc>
          <w:tcPr>
            <w:tcW w:w="4281" w:type="dxa"/>
          </w:tcPr>
          <w:p w:rsidR="00602239" w:rsidRPr="00A05518" w:rsidRDefault="00602239" w:rsidP="00602239">
            <w:pPr>
              <w:spacing w:before="120"/>
              <w:jc w:val="both"/>
              <w:rPr>
                <w:b/>
                <w:bCs/>
                <w:sz w:val="28"/>
                <w:szCs w:val="28"/>
                <w:lang w:val="vi-VN"/>
              </w:rPr>
            </w:pPr>
            <w:r w:rsidRPr="00A05518">
              <w:rPr>
                <w:b/>
                <w:bCs/>
                <w:sz w:val="28"/>
                <w:szCs w:val="28"/>
                <w:lang w:val="vi-VN"/>
              </w:rPr>
              <w:t>Quy định mới hoàn toàn.</w:t>
            </w:r>
          </w:p>
          <w:p w:rsidR="00602239" w:rsidRPr="00602239" w:rsidRDefault="00602239" w:rsidP="00602239">
            <w:pPr>
              <w:spacing w:before="120"/>
              <w:jc w:val="both"/>
              <w:rPr>
                <w:sz w:val="28"/>
                <w:szCs w:val="28"/>
                <w:lang w:val="vi-VN"/>
              </w:rPr>
            </w:pPr>
            <w:r w:rsidRPr="00602239">
              <w:rPr>
                <w:b/>
                <w:sz w:val="28"/>
                <w:szCs w:val="28"/>
                <w:lang w:val="vi-VN"/>
              </w:rPr>
              <w:t>Cơ sở pháp lý</w:t>
            </w:r>
            <w:r w:rsidRPr="00602239">
              <w:rPr>
                <w:sz w:val="28"/>
                <w:szCs w:val="28"/>
                <w:lang w:val="vi-VN"/>
              </w:rPr>
              <w:t>: Điểm a, b Khoản 3 Điều 18 Luật Công nghiệp công nghệ số.</w:t>
            </w:r>
          </w:p>
          <w:p w:rsidR="00602239" w:rsidRPr="00602239" w:rsidRDefault="00602239" w:rsidP="00602239">
            <w:pPr>
              <w:spacing w:before="120"/>
              <w:jc w:val="both"/>
              <w:rPr>
                <w:sz w:val="28"/>
                <w:szCs w:val="28"/>
                <w:lang w:val="vi-VN"/>
              </w:rPr>
            </w:pPr>
            <w:r w:rsidRPr="00602239">
              <w:rPr>
                <w:b/>
                <w:sz w:val="28"/>
                <w:szCs w:val="28"/>
                <w:lang w:val="vi-VN"/>
              </w:rPr>
              <w:t>Lý do</w:t>
            </w:r>
            <w:r w:rsidRPr="00602239">
              <w:rPr>
                <w:sz w:val="28"/>
                <w:szCs w:val="28"/>
                <w:lang w:val="vi-VN"/>
              </w:rPr>
              <w:t>: Mức chi xây dựng trên khảo sát thị trường (chênh lệch lương khu vực 3-4 lần, chi phí đào tạo chuyển đổi 150-200 triệu/khóa); tỷ lệ đồng chi trả 50% (vốn mồi) ràng buộc trách nhiệm thực chất của doanh nghiệp.</w:t>
            </w:r>
          </w:p>
          <w:p w:rsidR="0076049B" w:rsidRPr="00A05518" w:rsidRDefault="00602239" w:rsidP="00602239">
            <w:pPr>
              <w:spacing w:before="120"/>
              <w:jc w:val="both"/>
              <w:rPr>
                <w:sz w:val="28"/>
                <w:szCs w:val="28"/>
                <w:lang w:val="vi-VN"/>
              </w:rPr>
            </w:pPr>
            <w:r w:rsidRPr="00602239">
              <w:rPr>
                <w:b/>
                <w:sz w:val="28"/>
                <w:szCs w:val="28"/>
                <w:lang w:val="vi-VN"/>
              </w:rPr>
              <w:lastRenderedPageBreak/>
              <w:t>Tác động dự kiến</w:t>
            </w:r>
            <w:r w:rsidRPr="00602239">
              <w:rPr>
                <w:sz w:val="28"/>
                <w:szCs w:val="28"/>
                <w:lang w:val="vi-VN"/>
              </w:rPr>
              <w:t>: Đủ sức cạnh tranh thu hút, giữ chân nhân lực chất lượng cao; hạn chế nguy cơ khai khống, trục lợi chính sách nhờ cơ chế đối ứng.</w:t>
            </w:r>
          </w:p>
        </w:tc>
        <w:tc>
          <w:tcPr>
            <w:tcW w:w="3219" w:type="dxa"/>
          </w:tcPr>
          <w:p w:rsidR="0076049B" w:rsidRPr="00A05518" w:rsidRDefault="008F5874" w:rsidP="0076049B">
            <w:pPr>
              <w:spacing w:before="120"/>
              <w:jc w:val="both"/>
              <w:rPr>
                <w:sz w:val="28"/>
                <w:szCs w:val="28"/>
                <w:lang w:val="vi-VN"/>
              </w:rPr>
            </w:pPr>
            <w:r w:rsidRPr="00D3116D">
              <w:rPr>
                <w:sz w:val="28"/>
                <w:szCs w:val="28"/>
                <w:lang w:val="vi-VN"/>
              </w:rPr>
              <w:lastRenderedPageBreak/>
              <w:t>Thúc đẩy phát triển KHCN &amp; ĐMST.</w:t>
            </w:r>
          </w:p>
        </w:tc>
      </w:tr>
      <w:tr w:rsidR="00AF5F60" w:rsidRPr="007646BF" w:rsidTr="00CE279C">
        <w:tc>
          <w:tcPr>
            <w:tcW w:w="3153" w:type="dxa"/>
          </w:tcPr>
          <w:p w:rsidR="00AF5F60" w:rsidRPr="00A05518" w:rsidRDefault="00767070" w:rsidP="0076049B">
            <w:pPr>
              <w:spacing w:before="120"/>
              <w:jc w:val="both"/>
              <w:rPr>
                <w:b/>
                <w:bCs/>
                <w:sz w:val="28"/>
                <w:szCs w:val="28"/>
                <w:lang w:val="vi-VN"/>
              </w:rPr>
            </w:pPr>
            <w:r w:rsidRPr="00A05518">
              <w:rPr>
                <w:b/>
                <w:bCs/>
                <w:sz w:val="28"/>
                <w:szCs w:val="28"/>
                <w:lang w:val="vi-VN"/>
              </w:rPr>
              <w:t xml:space="preserve">Chưa có văn bản quy phạm pháp luật nào </w:t>
            </w:r>
            <w:r w:rsidRPr="00A05518">
              <w:rPr>
                <w:sz w:val="28"/>
                <w:szCs w:val="28"/>
                <w:lang w:val="vi-VN"/>
              </w:rPr>
              <w:t>của Hội đồng nhân dân Thành phố quy định về các nội dung này.</w:t>
            </w:r>
          </w:p>
        </w:tc>
        <w:tc>
          <w:tcPr>
            <w:tcW w:w="4190" w:type="dxa"/>
          </w:tcPr>
          <w:p w:rsidR="00AF5F60" w:rsidRDefault="00AF5F60" w:rsidP="0076049B">
            <w:pPr>
              <w:widowControl w:val="0"/>
              <w:shd w:val="clear" w:color="auto" w:fill="FFFFFF"/>
              <w:spacing w:before="100" w:after="100"/>
              <w:jc w:val="both"/>
              <w:rPr>
                <w:b/>
                <w:bCs/>
                <w:sz w:val="28"/>
                <w:szCs w:val="28"/>
                <w:shd w:val="clear" w:color="auto" w:fill="FFFFFF"/>
                <w:lang w:val="vi-VN"/>
              </w:rPr>
            </w:pPr>
            <w:r w:rsidRPr="00AF5F60">
              <w:rPr>
                <w:b/>
                <w:bCs/>
                <w:sz w:val="28"/>
                <w:szCs w:val="28"/>
                <w:shd w:val="clear" w:color="auto" w:fill="FFFFFF"/>
                <w:lang w:val="vi-VN"/>
              </w:rPr>
              <w:t xml:space="preserve">Điều 6. </w:t>
            </w:r>
            <w:r w:rsidR="00F733E6" w:rsidRPr="00F733E6">
              <w:rPr>
                <w:b/>
                <w:bCs/>
                <w:sz w:val="28"/>
                <w:szCs w:val="28"/>
                <w:shd w:val="clear" w:color="auto" w:fill="FFFFFF"/>
                <w:lang w:val="vi-VN"/>
              </w:rPr>
              <w:t>Trình tự xét duyệt, hỗ trợ</w:t>
            </w:r>
          </w:p>
          <w:p w:rsidR="00176658" w:rsidRPr="00176658" w:rsidRDefault="009F10C0" w:rsidP="00176658">
            <w:pPr>
              <w:widowControl w:val="0"/>
              <w:shd w:val="clear" w:color="auto" w:fill="FFFFFF"/>
              <w:spacing w:before="100" w:after="100"/>
              <w:jc w:val="both"/>
              <w:rPr>
                <w:b/>
                <w:bCs/>
                <w:sz w:val="28"/>
                <w:szCs w:val="28"/>
                <w:shd w:val="clear" w:color="auto" w:fill="FFFFFF"/>
                <w:lang w:val="vi-VN"/>
              </w:rPr>
            </w:pPr>
            <w:r w:rsidRPr="009F10C0">
              <w:rPr>
                <w:sz w:val="28"/>
                <w:szCs w:val="28"/>
                <w:shd w:val="clear" w:color="auto" w:fill="FFFFFF"/>
                <w:lang w:val="vi-VN"/>
              </w:rPr>
              <w:t>03 bước: (1) tiếp nhận hồ sơ; (2) thẩm định, chấp thuận danh sách (≤30 ngày làm việc) - Sở KH&amp;CN chủ trì, quyết định thành lập Hội đồng tư vấn chuyên môn khi cần thiết, quyết định chấp thuận danh sách hỗ trợ; (3) nghiệm thu thực chi (≤10 ngày làm việc).</w:t>
            </w:r>
          </w:p>
        </w:tc>
        <w:tc>
          <w:tcPr>
            <w:tcW w:w="4281" w:type="dxa"/>
          </w:tcPr>
          <w:p w:rsidR="001D1B13" w:rsidRDefault="001D1B13" w:rsidP="00CA3ABC">
            <w:pPr>
              <w:widowControl w:val="0"/>
              <w:shd w:val="clear" w:color="auto" w:fill="FFFFFF"/>
              <w:spacing w:before="100" w:after="100"/>
              <w:jc w:val="both"/>
              <w:rPr>
                <w:b/>
                <w:sz w:val="28"/>
                <w:szCs w:val="28"/>
                <w:shd w:val="clear" w:color="auto" w:fill="FFFFFF"/>
                <w:lang w:val="vi-VN"/>
              </w:rPr>
            </w:pPr>
            <w:r w:rsidRPr="00A05518">
              <w:rPr>
                <w:b/>
                <w:bCs/>
                <w:sz w:val="28"/>
                <w:szCs w:val="28"/>
                <w:lang w:val="vi-VN"/>
              </w:rPr>
              <w:t>Quy định mới hoàn toàn.</w:t>
            </w:r>
          </w:p>
          <w:p w:rsidR="00CA3ABC" w:rsidRPr="00CA3ABC" w:rsidRDefault="00CA3ABC" w:rsidP="00CA3ABC">
            <w:pPr>
              <w:widowControl w:val="0"/>
              <w:shd w:val="clear" w:color="auto" w:fill="FFFFFF"/>
              <w:spacing w:before="100" w:after="100"/>
              <w:jc w:val="both"/>
              <w:rPr>
                <w:sz w:val="28"/>
                <w:szCs w:val="28"/>
                <w:shd w:val="clear" w:color="auto" w:fill="FFFFFF"/>
                <w:lang w:val="vi-VN"/>
              </w:rPr>
            </w:pPr>
            <w:r w:rsidRPr="009719CA">
              <w:rPr>
                <w:b/>
                <w:sz w:val="28"/>
                <w:szCs w:val="28"/>
                <w:shd w:val="clear" w:color="auto" w:fill="FFFFFF"/>
                <w:lang w:val="vi-VN"/>
              </w:rPr>
              <w:t>Cơ sở pháp lý</w:t>
            </w:r>
            <w:r w:rsidRPr="00CA3ABC">
              <w:rPr>
                <w:sz w:val="28"/>
                <w:szCs w:val="28"/>
                <w:shd w:val="clear" w:color="auto" w:fill="FFFFFF"/>
                <w:lang w:val="vi-VN"/>
              </w:rPr>
              <w:t>: Vận dụng có chọn lọc quy trình tại Nghị định số 265/2025/NĐ-CP, Nghị định số 268/2025/NĐ-CP.</w:t>
            </w:r>
          </w:p>
          <w:p w:rsidR="00CA3ABC" w:rsidRPr="00CA3ABC" w:rsidRDefault="00CA3ABC" w:rsidP="00CA3ABC">
            <w:pPr>
              <w:widowControl w:val="0"/>
              <w:shd w:val="clear" w:color="auto" w:fill="FFFFFF"/>
              <w:spacing w:before="100" w:after="100"/>
              <w:jc w:val="both"/>
              <w:rPr>
                <w:sz w:val="28"/>
                <w:szCs w:val="28"/>
                <w:shd w:val="clear" w:color="auto" w:fill="FFFFFF"/>
                <w:lang w:val="vi-VN"/>
              </w:rPr>
            </w:pPr>
            <w:r w:rsidRPr="009719CA">
              <w:rPr>
                <w:b/>
                <w:sz w:val="28"/>
                <w:szCs w:val="28"/>
                <w:shd w:val="clear" w:color="auto" w:fill="FFFFFF"/>
                <w:lang w:val="vi-VN"/>
              </w:rPr>
              <w:t>Lý do</w:t>
            </w:r>
            <w:r w:rsidRPr="00CA3ABC">
              <w:rPr>
                <w:sz w:val="28"/>
                <w:szCs w:val="28"/>
                <w:shd w:val="clear" w:color="auto" w:fill="FFFFFF"/>
                <w:lang w:val="vi-VN"/>
              </w:rPr>
              <w:t>: Giao Sở KH&amp;CN trực tiếp quyết định (thay vì “tham mưu cơ quan có thẩm quyền” như hướng cũ) phù hợp vai trò cơ quan đầu mối được UBND Thành phố giao tại Điều 8, không vi phạm phân cấp vì thẩm quyền ban hành chính sách vẫn thuộc HĐND.</w:t>
            </w:r>
          </w:p>
          <w:p w:rsidR="00AF5F60" w:rsidRPr="00A05518" w:rsidRDefault="00CA3ABC" w:rsidP="00CA3ABC">
            <w:pPr>
              <w:widowControl w:val="0"/>
              <w:shd w:val="clear" w:color="auto" w:fill="FFFFFF"/>
              <w:spacing w:before="100" w:after="100"/>
              <w:jc w:val="both"/>
              <w:rPr>
                <w:b/>
                <w:bCs/>
                <w:sz w:val="28"/>
                <w:szCs w:val="28"/>
                <w:lang w:val="vi-VN"/>
              </w:rPr>
            </w:pPr>
            <w:r w:rsidRPr="009719CA">
              <w:rPr>
                <w:b/>
                <w:sz w:val="28"/>
                <w:szCs w:val="28"/>
                <w:shd w:val="clear" w:color="auto" w:fill="FFFFFF"/>
                <w:lang w:val="vi-VN"/>
              </w:rPr>
              <w:t>Tác động dự kiến</w:t>
            </w:r>
            <w:r w:rsidRPr="00CA3ABC">
              <w:rPr>
                <w:sz w:val="28"/>
                <w:szCs w:val="28"/>
                <w:shd w:val="clear" w:color="auto" w:fill="FFFFFF"/>
                <w:lang w:val="vi-VN"/>
              </w:rPr>
              <w:t>: Rút ngắn thời gian xử lý hồ sơ, giảm thủ tục trung gian, tăng tính chủ động và trách nhiệm của cơ quan chuyên môn.</w:t>
            </w:r>
          </w:p>
        </w:tc>
        <w:tc>
          <w:tcPr>
            <w:tcW w:w="3219" w:type="dxa"/>
          </w:tcPr>
          <w:p w:rsidR="00AF5F60" w:rsidRPr="00A05518" w:rsidRDefault="009719CA" w:rsidP="0076049B">
            <w:pPr>
              <w:spacing w:before="120"/>
              <w:jc w:val="both"/>
              <w:rPr>
                <w:sz w:val="28"/>
                <w:szCs w:val="28"/>
                <w:lang w:val="vi-VN"/>
              </w:rPr>
            </w:pPr>
            <w:r w:rsidRPr="009719CA">
              <w:rPr>
                <w:sz w:val="28"/>
                <w:szCs w:val="28"/>
                <w:lang w:val="vi-VN"/>
              </w:rPr>
              <w:t>Không phát sinh TTHC mới ngoài phạm vi Nghị quyết; phân cấp rõ: Sở KH&amp;CN chủ trì thẩm định, chấp thuận trong phạm vi được UBND giao.</w:t>
            </w:r>
          </w:p>
        </w:tc>
      </w:tr>
      <w:tr w:rsidR="00AF5F60" w:rsidRPr="007646BF" w:rsidTr="00A55816">
        <w:tc>
          <w:tcPr>
            <w:tcW w:w="3153" w:type="dxa"/>
          </w:tcPr>
          <w:p w:rsidR="00AF5F60" w:rsidRPr="00A05518" w:rsidRDefault="00767070" w:rsidP="0076049B">
            <w:pPr>
              <w:spacing w:before="120"/>
              <w:jc w:val="both"/>
              <w:rPr>
                <w:b/>
                <w:bCs/>
                <w:sz w:val="28"/>
                <w:szCs w:val="28"/>
                <w:lang w:val="vi-VN"/>
              </w:rPr>
            </w:pPr>
            <w:r w:rsidRPr="00A05518">
              <w:rPr>
                <w:b/>
                <w:bCs/>
                <w:sz w:val="28"/>
                <w:szCs w:val="28"/>
                <w:lang w:val="vi-VN"/>
              </w:rPr>
              <w:t xml:space="preserve">Chưa có văn bản quy phạm pháp luật nào </w:t>
            </w:r>
            <w:r w:rsidRPr="00A05518">
              <w:rPr>
                <w:sz w:val="28"/>
                <w:szCs w:val="28"/>
                <w:lang w:val="vi-VN"/>
              </w:rPr>
              <w:t xml:space="preserve">của </w:t>
            </w:r>
            <w:r w:rsidRPr="00A05518">
              <w:rPr>
                <w:sz w:val="28"/>
                <w:szCs w:val="28"/>
                <w:lang w:val="vi-VN"/>
              </w:rPr>
              <w:lastRenderedPageBreak/>
              <w:t>Hội đồng nhân dân Thành phố quy định về các nội dung này.</w:t>
            </w:r>
          </w:p>
        </w:tc>
        <w:tc>
          <w:tcPr>
            <w:tcW w:w="4190" w:type="dxa"/>
          </w:tcPr>
          <w:p w:rsidR="00AF5F60" w:rsidRDefault="00AF5F60" w:rsidP="0076049B">
            <w:pPr>
              <w:widowControl w:val="0"/>
              <w:shd w:val="clear" w:color="auto" w:fill="FFFFFF"/>
              <w:spacing w:before="100" w:after="100"/>
              <w:jc w:val="both"/>
              <w:rPr>
                <w:b/>
                <w:bCs/>
                <w:sz w:val="28"/>
                <w:szCs w:val="28"/>
                <w:shd w:val="clear" w:color="auto" w:fill="FFFFFF"/>
              </w:rPr>
            </w:pPr>
            <w:r w:rsidRPr="00AF5F60">
              <w:rPr>
                <w:b/>
                <w:bCs/>
                <w:sz w:val="28"/>
                <w:szCs w:val="28"/>
                <w:shd w:val="clear" w:color="auto" w:fill="FFFFFF"/>
                <w:lang w:val="vi-VN"/>
              </w:rPr>
              <w:lastRenderedPageBreak/>
              <w:t xml:space="preserve">Điều 7. </w:t>
            </w:r>
            <w:r w:rsidR="00AA31F1" w:rsidRPr="00AA31F1">
              <w:rPr>
                <w:b/>
                <w:bCs/>
                <w:sz w:val="28"/>
                <w:szCs w:val="28"/>
                <w:shd w:val="clear" w:color="auto" w:fill="FFFFFF"/>
                <w:lang w:val="vi-VN"/>
              </w:rPr>
              <w:t>Nguồn kinh phí thực hiện</w:t>
            </w:r>
          </w:p>
          <w:p w:rsidR="008F5874" w:rsidRPr="008F5874" w:rsidRDefault="004E3B8F" w:rsidP="008F5874">
            <w:pPr>
              <w:widowControl w:val="0"/>
              <w:shd w:val="clear" w:color="auto" w:fill="FFFFFF"/>
              <w:spacing w:before="100" w:after="100"/>
              <w:jc w:val="both"/>
              <w:rPr>
                <w:b/>
                <w:bCs/>
                <w:sz w:val="28"/>
                <w:szCs w:val="28"/>
                <w:shd w:val="clear" w:color="auto" w:fill="FFFFFF"/>
                <w:lang w:val="vi-VN"/>
              </w:rPr>
            </w:pPr>
            <w:r w:rsidRPr="004E3B8F">
              <w:rPr>
                <w:sz w:val="28"/>
                <w:szCs w:val="28"/>
                <w:shd w:val="clear" w:color="auto" w:fill="FFFFFF"/>
                <w:lang w:val="vi-VN"/>
              </w:rPr>
              <w:lastRenderedPageBreak/>
              <w:t>Từ nguồn chi sự nghiệp khoa học và công nghệ thuộc ngân sách Thành phố, trong phạm vi dự toán hằng năm được giao, phù hợp khả năng cân đối ngân sách.</w:t>
            </w:r>
          </w:p>
        </w:tc>
        <w:tc>
          <w:tcPr>
            <w:tcW w:w="4281" w:type="dxa"/>
          </w:tcPr>
          <w:p w:rsidR="001D1B13" w:rsidRPr="001D1B13" w:rsidRDefault="001D1B13" w:rsidP="001D1B13">
            <w:pPr>
              <w:widowControl w:val="0"/>
              <w:shd w:val="clear" w:color="auto" w:fill="FFFFFF"/>
              <w:spacing w:before="100" w:after="100"/>
              <w:jc w:val="both"/>
              <w:rPr>
                <w:sz w:val="28"/>
                <w:szCs w:val="28"/>
                <w:shd w:val="clear" w:color="auto" w:fill="FFFFFF"/>
                <w:lang w:val="vi-VN"/>
              </w:rPr>
            </w:pPr>
            <w:r w:rsidRPr="00CC5A46">
              <w:rPr>
                <w:b/>
                <w:sz w:val="28"/>
                <w:szCs w:val="28"/>
                <w:shd w:val="clear" w:color="auto" w:fill="FFFFFF"/>
                <w:lang w:val="vi-VN"/>
              </w:rPr>
              <w:lastRenderedPageBreak/>
              <w:t>Cơ sở pháp lý</w:t>
            </w:r>
            <w:r w:rsidRPr="001D1B13">
              <w:rPr>
                <w:sz w:val="28"/>
                <w:szCs w:val="28"/>
                <w:shd w:val="clear" w:color="auto" w:fill="FFFFFF"/>
                <w:lang w:val="vi-VN"/>
              </w:rPr>
              <w:t xml:space="preserve">: Luật Ngân sách nhà </w:t>
            </w:r>
            <w:r w:rsidRPr="001D1B13">
              <w:rPr>
                <w:sz w:val="28"/>
                <w:szCs w:val="28"/>
                <w:shd w:val="clear" w:color="auto" w:fill="FFFFFF"/>
                <w:lang w:val="vi-VN"/>
              </w:rPr>
              <w:lastRenderedPageBreak/>
              <w:t>nước số 89/2025/QH15.</w:t>
            </w:r>
          </w:p>
          <w:p w:rsidR="001D1B13" w:rsidRPr="00DA55EA" w:rsidRDefault="001D1B13" w:rsidP="001D1B13">
            <w:pPr>
              <w:widowControl w:val="0"/>
              <w:shd w:val="clear" w:color="auto" w:fill="FFFFFF"/>
              <w:spacing w:before="100" w:after="100"/>
              <w:jc w:val="both"/>
              <w:rPr>
                <w:sz w:val="28"/>
                <w:szCs w:val="28"/>
                <w:shd w:val="clear" w:color="auto" w:fill="FFFFFF"/>
              </w:rPr>
            </w:pPr>
            <w:r w:rsidRPr="00CC5A46">
              <w:rPr>
                <w:b/>
                <w:sz w:val="28"/>
                <w:szCs w:val="28"/>
                <w:shd w:val="clear" w:color="auto" w:fill="FFFFFF"/>
                <w:lang w:val="vi-VN"/>
              </w:rPr>
              <w:t>Lý do</w:t>
            </w:r>
            <w:r w:rsidRPr="001D1B13">
              <w:rPr>
                <w:sz w:val="28"/>
                <w:szCs w:val="28"/>
                <w:shd w:val="clear" w:color="auto" w:fill="FFFFFF"/>
                <w:lang w:val="vi-VN"/>
              </w:rPr>
              <w:t xml:space="preserve">: </w:t>
            </w:r>
            <w:r w:rsidR="00163FCF" w:rsidRPr="00163FCF">
              <w:rPr>
                <w:sz w:val="28"/>
                <w:szCs w:val="28"/>
                <w:shd w:val="clear" w:color="auto" w:fill="FFFFFF"/>
                <w:lang w:val="vi-VN"/>
              </w:rPr>
              <w:t>HĐND cấp tỉnh có trách nhiệm bố trí ngân sách địa phương thực hiện chính sách</w:t>
            </w:r>
            <w:r w:rsidRPr="001D1B13">
              <w:rPr>
                <w:sz w:val="28"/>
                <w:szCs w:val="28"/>
                <w:shd w:val="clear" w:color="auto" w:fill="FFFFFF"/>
                <w:lang w:val="vi-VN"/>
              </w:rPr>
              <w:t>.</w:t>
            </w:r>
            <w:r w:rsidR="00DA55EA">
              <w:rPr>
                <w:sz w:val="28"/>
                <w:szCs w:val="28"/>
                <w:shd w:val="clear" w:color="auto" w:fill="FFFFFF"/>
              </w:rPr>
              <w:t xml:space="preserve"> D</w:t>
            </w:r>
            <w:r w:rsidR="00DA55EA" w:rsidRPr="00DA55EA">
              <w:rPr>
                <w:sz w:val="28"/>
                <w:szCs w:val="28"/>
                <w:shd w:val="clear" w:color="auto" w:fill="FFFFFF"/>
              </w:rPr>
              <w:t>ự thảo xác định thống nhất một nguồn kinh phí duy nhất là nguồn chi sự nghiệp khoa học và công nghệ phù hợp với bản chất nhiệm vụ được giao, do cơ quan tổ chức thực hiện chính sách là Sở Khoa học và Công nghệ, thuộc lĩnh vực khoa học, công nghệ theo hệ thống mục lục ngân sách nhà nước.</w:t>
            </w:r>
          </w:p>
          <w:p w:rsidR="00163FCF" w:rsidRPr="00163FCF" w:rsidRDefault="001D1B13" w:rsidP="00163FCF">
            <w:pPr>
              <w:spacing w:before="120"/>
              <w:jc w:val="both"/>
              <w:rPr>
                <w:sz w:val="28"/>
                <w:szCs w:val="28"/>
                <w:shd w:val="clear" w:color="auto" w:fill="FFFFFF"/>
                <w:lang w:val="vi-VN"/>
              </w:rPr>
            </w:pPr>
            <w:r w:rsidRPr="00CC5A46">
              <w:rPr>
                <w:b/>
                <w:sz w:val="28"/>
                <w:szCs w:val="28"/>
                <w:shd w:val="clear" w:color="auto" w:fill="FFFFFF"/>
                <w:lang w:val="vi-VN"/>
              </w:rPr>
              <w:t>Tác động dự kiến</w:t>
            </w:r>
            <w:r w:rsidRPr="001D1B13">
              <w:rPr>
                <w:sz w:val="28"/>
                <w:szCs w:val="28"/>
                <w:shd w:val="clear" w:color="auto" w:fill="FFFFFF"/>
                <w:lang w:val="vi-VN"/>
              </w:rPr>
              <w:t xml:space="preserve">: </w:t>
            </w:r>
            <w:r w:rsidR="00163FCF" w:rsidRPr="00163FCF">
              <w:rPr>
                <w:sz w:val="28"/>
                <w:szCs w:val="28"/>
                <w:shd w:val="clear" w:color="auto" w:fill="FFFFFF"/>
                <w:lang w:val="vi-VN"/>
              </w:rPr>
              <w:t>Kinh phí được bố trí trong phạm vi dự toán hằng năm đã được giao, không tạo áp lực chi vượt dự toán, không phát sinh nhu cầu bổ sung ngoài kế hoạch.</w:t>
            </w:r>
          </w:p>
          <w:p w:rsidR="00163FCF" w:rsidRPr="00163FCF" w:rsidRDefault="00163FCF" w:rsidP="00163FCF">
            <w:pPr>
              <w:spacing w:before="120"/>
              <w:jc w:val="both"/>
              <w:rPr>
                <w:sz w:val="28"/>
                <w:szCs w:val="28"/>
                <w:shd w:val="clear" w:color="auto" w:fill="FFFFFF"/>
                <w:lang w:val="vi-VN"/>
              </w:rPr>
            </w:pPr>
            <w:r w:rsidRPr="00163FCF">
              <w:rPr>
                <w:sz w:val="28"/>
                <w:szCs w:val="28"/>
                <w:shd w:val="clear" w:color="auto" w:fill="FFFFFF"/>
                <w:lang w:val="vi-VN"/>
              </w:rPr>
              <w:t>Cơ chế hỗ trợ sau thực chi kết hợp đối ứng bắt buộc 50% từ doanh nghiệp giúp giảm áp lực ngân sách so với cấp phát trọn gói, đồng thời hạn chế rủi ro thất thoát vì chỉ giải ngân khi có kết quả thực chi, chứng từ rõ ràng.</w:t>
            </w:r>
          </w:p>
          <w:p w:rsidR="00163FCF" w:rsidRPr="00163FCF" w:rsidRDefault="00163FCF" w:rsidP="00163FCF">
            <w:pPr>
              <w:spacing w:before="120"/>
              <w:jc w:val="both"/>
              <w:rPr>
                <w:sz w:val="28"/>
                <w:szCs w:val="28"/>
                <w:shd w:val="clear" w:color="auto" w:fill="FFFFFF"/>
                <w:lang w:val="vi-VN"/>
              </w:rPr>
            </w:pPr>
            <w:r w:rsidRPr="00163FCF">
              <w:rPr>
                <w:sz w:val="28"/>
                <w:szCs w:val="28"/>
                <w:shd w:val="clear" w:color="auto" w:fill="FFFFFF"/>
                <w:lang w:val="vi-VN"/>
              </w:rPr>
              <w:lastRenderedPageBreak/>
              <w:t>Việc xác định rõ phạm vi dự toán ngay từ Nghị quyết tạo cơ sở để Sở Khoa học và Công nghệ chủ động lập dự toán ngay khi Nghị quyết có hiệu lực, rút ngắn thời gian đưa chính sách vào thực tiễn.</w:t>
            </w:r>
          </w:p>
          <w:p w:rsidR="00AF5F60" w:rsidRPr="00A05518" w:rsidRDefault="00163FCF" w:rsidP="00163FCF">
            <w:pPr>
              <w:spacing w:before="120"/>
              <w:jc w:val="both"/>
              <w:rPr>
                <w:b/>
                <w:bCs/>
                <w:sz w:val="28"/>
                <w:szCs w:val="28"/>
                <w:lang w:val="vi-VN"/>
              </w:rPr>
            </w:pPr>
            <w:r w:rsidRPr="00163FCF">
              <w:rPr>
                <w:sz w:val="28"/>
                <w:szCs w:val="28"/>
                <w:shd w:val="clear" w:color="auto" w:fill="FFFFFF"/>
                <w:lang w:val="vi-VN"/>
              </w:rPr>
              <w:t>Nhờ đó, chính sách vừa an toàn, chủ động về ngân sách dài hạn, vừa không phát sinh gánh nặng tài chính đột biến, phù hợp khả năng cân đối ngân sách của Thành phố.</w:t>
            </w:r>
          </w:p>
        </w:tc>
        <w:tc>
          <w:tcPr>
            <w:tcW w:w="3219" w:type="dxa"/>
          </w:tcPr>
          <w:p w:rsidR="00AF5F60" w:rsidRPr="00A05518" w:rsidRDefault="00B861CC" w:rsidP="0076049B">
            <w:pPr>
              <w:spacing w:before="120"/>
              <w:jc w:val="both"/>
              <w:rPr>
                <w:sz w:val="28"/>
                <w:szCs w:val="28"/>
                <w:lang w:val="vi-VN"/>
              </w:rPr>
            </w:pPr>
            <w:r w:rsidRPr="00B861CC">
              <w:rPr>
                <w:sz w:val="28"/>
                <w:szCs w:val="28"/>
                <w:lang w:val="vi-VN"/>
              </w:rPr>
              <w:lastRenderedPageBreak/>
              <w:t xml:space="preserve">Bảo đảm nguyên tắc cân đối ngân sách địa phương </w:t>
            </w:r>
            <w:r w:rsidRPr="00B861CC">
              <w:rPr>
                <w:sz w:val="28"/>
                <w:szCs w:val="28"/>
                <w:lang w:val="vi-VN"/>
              </w:rPr>
              <w:lastRenderedPageBreak/>
              <w:t>hằng năm; không phát sinh TTHC mới.</w:t>
            </w:r>
          </w:p>
        </w:tc>
      </w:tr>
      <w:tr w:rsidR="00AF5F60" w:rsidRPr="007646BF" w:rsidTr="00D242DE">
        <w:tc>
          <w:tcPr>
            <w:tcW w:w="3153" w:type="dxa"/>
          </w:tcPr>
          <w:p w:rsidR="00AF5F60" w:rsidRPr="00A05518" w:rsidRDefault="00767070" w:rsidP="0076049B">
            <w:pPr>
              <w:spacing w:before="120"/>
              <w:jc w:val="both"/>
              <w:rPr>
                <w:b/>
                <w:bCs/>
                <w:sz w:val="28"/>
                <w:szCs w:val="28"/>
                <w:lang w:val="vi-VN"/>
              </w:rPr>
            </w:pPr>
            <w:r w:rsidRPr="00A05518">
              <w:rPr>
                <w:b/>
                <w:bCs/>
                <w:sz w:val="28"/>
                <w:szCs w:val="28"/>
                <w:lang w:val="vi-VN"/>
              </w:rPr>
              <w:lastRenderedPageBreak/>
              <w:t xml:space="preserve">Chưa có văn bản quy phạm pháp luật nào </w:t>
            </w:r>
            <w:r w:rsidRPr="00A05518">
              <w:rPr>
                <w:sz w:val="28"/>
                <w:szCs w:val="28"/>
                <w:lang w:val="vi-VN"/>
              </w:rPr>
              <w:t>của Hội đồng nhân dân Thành phố quy định về các nội dung này.</w:t>
            </w:r>
          </w:p>
        </w:tc>
        <w:tc>
          <w:tcPr>
            <w:tcW w:w="4190" w:type="dxa"/>
          </w:tcPr>
          <w:p w:rsidR="00080184" w:rsidRPr="00080184" w:rsidRDefault="00AF5F60" w:rsidP="00080184">
            <w:pPr>
              <w:widowControl w:val="0"/>
              <w:shd w:val="clear" w:color="auto" w:fill="FFFFFF"/>
              <w:spacing w:before="100" w:after="100"/>
              <w:jc w:val="both"/>
              <w:rPr>
                <w:b/>
                <w:color w:val="1B1C1D"/>
                <w:sz w:val="28"/>
                <w:szCs w:val="28"/>
              </w:rPr>
            </w:pPr>
            <w:r w:rsidRPr="00767070">
              <w:rPr>
                <w:b/>
                <w:color w:val="1B1C1D"/>
                <w:sz w:val="28"/>
                <w:szCs w:val="28"/>
              </w:rPr>
              <w:t xml:space="preserve">Điều 8. </w:t>
            </w:r>
            <w:r w:rsidR="00080184" w:rsidRPr="00080184">
              <w:rPr>
                <w:b/>
                <w:color w:val="1B1C1D"/>
                <w:sz w:val="28"/>
                <w:szCs w:val="28"/>
              </w:rPr>
              <w:t>Tổ chức thực hiện</w:t>
            </w:r>
          </w:p>
          <w:p w:rsidR="00767070" w:rsidRPr="00080184" w:rsidRDefault="00080184" w:rsidP="00080184">
            <w:pPr>
              <w:widowControl w:val="0"/>
              <w:shd w:val="clear" w:color="auto" w:fill="FFFFFF"/>
              <w:spacing w:before="100" w:after="100"/>
              <w:jc w:val="both"/>
              <w:rPr>
                <w:color w:val="1B1C1D"/>
                <w:sz w:val="28"/>
                <w:szCs w:val="28"/>
              </w:rPr>
            </w:pPr>
            <w:r w:rsidRPr="00080184">
              <w:rPr>
                <w:color w:val="1B1C1D"/>
                <w:sz w:val="28"/>
                <w:szCs w:val="28"/>
              </w:rPr>
              <w:t>Giao UBND Thành phố tổ chức triển khai; Sở KH&amp;CN là đầu mối; trách nhiệm doanh nghiệp thụ hưởng; “xử lý theo quy định pháp luật; thu hồi kinh phí theo quyết định của cơ quan có thẩm quyền” khi vi phạm; Thường trực HĐND, các Ban, Tổ đại biểu giám sát.</w:t>
            </w:r>
          </w:p>
        </w:tc>
        <w:tc>
          <w:tcPr>
            <w:tcW w:w="4281" w:type="dxa"/>
          </w:tcPr>
          <w:p w:rsidR="00E57CC2" w:rsidRPr="00E57CC2" w:rsidRDefault="00E57CC2" w:rsidP="00E57CC2">
            <w:pPr>
              <w:widowControl w:val="0"/>
              <w:shd w:val="clear" w:color="auto" w:fill="FFFFFF"/>
              <w:spacing w:before="100" w:after="100"/>
              <w:jc w:val="both"/>
              <w:rPr>
                <w:sz w:val="28"/>
                <w:szCs w:val="28"/>
                <w:shd w:val="clear" w:color="auto" w:fill="FFFFFF"/>
                <w:lang w:val="vi-VN"/>
              </w:rPr>
            </w:pPr>
            <w:r w:rsidRPr="00F57F35">
              <w:rPr>
                <w:b/>
                <w:sz w:val="28"/>
                <w:szCs w:val="28"/>
                <w:shd w:val="clear" w:color="auto" w:fill="FFFFFF"/>
                <w:lang w:val="vi-VN"/>
              </w:rPr>
              <w:t>Cơ sở pháp lý</w:t>
            </w:r>
            <w:r w:rsidRPr="00E57CC2">
              <w:rPr>
                <w:sz w:val="28"/>
                <w:szCs w:val="28"/>
                <w:shd w:val="clear" w:color="auto" w:fill="FFFFFF"/>
                <w:lang w:val="vi-VN"/>
              </w:rPr>
              <w:t>: Luật Tổ chức chính quyền địa phương số 72/2025/QH15 (nguyên tắc phân cấp HĐND - UBND).</w:t>
            </w:r>
          </w:p>
          <w:p w:rsidR="00F55EF4" w:rsidRPr="00F55EF4" w:rsidRDefault="00E57CC2" w:rsidP="00F55EF4">
            <w:pPr>
              <w:widowControl w:val="0"/>
              <w:shd w:val="clear" w:color="auto" w:fill="FFFFFF"/>
              <w:spacing w:before="100" w:after="100"/>
              <w:jc w:val="both"/>
              <w:rPr>
                <w:color w:val="1F1F1F"/>
                <w:sz w:val="28"/>
                <w:szCs w:val="28"/>
                <w:shd w:val="clear" w:color="auto" w:fill="FFFFFF"/>
              </w:rPr>
            </w:pPr>
            <w:r w:rsidRPr="00F57F35">
              <w:rPr>
                <w:b/>
                <w:sz w:val="28"/>
                <w:szCs w:val="28"/>
                <w:shd w:val="clear" w:color="auto" w:fill="FFFFFF"/>
                <w:lang w:val="vi-VN"/>
              </w:rPr>
              <w:t>Lý do</w:t>
            </w:r>
            <w:r w:rsidRPr="00E57CC2">
              <w:rPr>
                <w:sz w:val="28"/>
                <w:szCs w:val="28"/>
                <w:shd w:val="clear" w:color="auto" w:fill="FFFFFF"/>
                <w:lang w:val="vi-VN"/>
              </w:rPr>
              <w:t xml:space="preserve">: </w:t>
            </w:r>
            <w:r w:rsidR="00F55EF4" w:rsidRPr="00F55EF4">
              <w:rPr>
                <w:color w:val="1F1F1F"/>
                <w:sz w:val="28"/>
                <w:szCs w:val="28"/>
                <w:shd w:val="clear" w:color="auto" w:fill="FFFFFF"/>
              </w:rPr>
              <w:t xml:space="preserve">HĐND ban hành chính sách, UBND tổ chức thi hành theo đúng nguyên tắc phân công tại Luật Tổ chức chính quyền địa phương; Sở Khoa học và Công nghệ được xác định là đầu mối do đây là lĩnh vực chuyên ngành thuộc chức năng quản lý của Sở, bảo đảm nguyên tắc một việc do một cơ quan chủ trì chịu </w:t>
            </w:r>
            <w:r w:rsidR="00F55EF4" w:rsidRPr="00F55EF4">
              <w:rPr>
                <w:color w:val="1F1F1F"/>
                <w:sz w:val="28"/>
                <w:szCs w:val="28"/>
                <w:shd w:val="clear" w:color="auto" w:fill="FFFFFF"/>
              </w:rPr>
              <w:lastRenderedPageBreak/>
              <w:t>trách nhiệm chính.</w:t>
            </w:r>
          </w:p>
          <w:p w:rsidR="00F55EF4" w:rsidRPr="00F55EF4" w:rsidRDefault="00F55EF4" w:rsidP="00F55EF4">
            <w:pPr>
              <w:widowControl w:val="0"/>
              <w:shd w:val="clear" w:color="auto" w:fill="FFFFFF"/>
              <w:spacing w:before="100" w:after="100"/>
              <w:jc w:val="both"/>
              <w:rPr>
                <w:color w:val="1F1F1F"/>
                <w:sz w:val="28"/>
                <w:szCs w:val="28"/>
                <w:shd w:val="clear" w:color="auto" w:fill="FFFFFF"/>
              </w:rPr>
            </w:pPr>
            <w:r w:rsidRPr="00F55EF4">
              <w:rPr>
                <w:color w:val="1F1F1F"/>
                <w:sz w:val="28"/>
                <w:szCs w:val="28"/>
                <w:shd w:val="clear" w:color="auto" w:fill="FFFFFF"/>
              </w:rPr>
              <w:t>Trách nhiệm của doanh nghiệp thụ hưởng là nghĩa vụ đối ứng tất yếu khi tiếp nhận hỗ trợ từ ngân sách nhà nước, gắn quyền lợi với trách nhiệm giải trình, sử dụng đúng mục đích.</w:t>
            </w:r>
          </w:p>
          <w:p w:rsidR="00F55EF4" w:rsidRPr="00F55EF4" w:rsidRDefault="00F55EF4" w:rsidP="00F55EF4">
            <w:pPr>
              <w:widowControl w:val="0"/>
              <w:shd w:val="clear" w:color="auto" w:fill="FFFFFF"/>
              <w:spacing w:before="100" w:after="100"/>
              <w:jc w:val="both"/>
              <w:rPr>
                <w:color w:val="1F1F1F"/>
                <w:sz w:val="28"/>
                <w:szCs w:val="28"/>
                <w:shd w:val="clear" w:color="auto" w:fill="FFFFFF"/>
              </w:rPr>
            </w:pPr>
            <w:r w:rsidRPr="00F55EF4">
              <w:rPr>
                <w:color w:val="1F1F1F"/>
                <w:sz w:val="28"/>
                <w:szCs w:val="28"/>
                <w:shd w:val="clear" w:color="auto" w:fill="FFFFFF"/>
              </w:rPr>
              <w:t>Việc dẫn chiếu “xử lý theo quy định pháp luật; thu hồi theo quyết định của cơ quan có thẩm quyền” (thay vì tự đặt mức chế tài cụ thể) bảo đảm phù hợp thẩm quyền lập quy của HĐND cấp tỉnh, tránh tạo chế tài mới nằm ngoài phạm vi được giao, đồng thời vẫn giữ tính linh hoạt xử lý theo mức độ vi phạm thực tế.</w:t>
            </w:r>
          </w:p>
          <w:p w:rsidR="00E57CC2" w:rsidRPr="00DA55EA" w:rsidRDefault="00F55EF4" w:rsidP="00F55EF4">
            <w:pPr>
              <w:widowControl w:val="0"/>
              <w:shd w:val="clear" w:color="auto" w:fill="FFFFFF"/>
              <w:spacing w:before="100" w:after="100"/>
              <w:jc w:val="both"/>
              <w:rPr>
                <w:sz w:val="28"/>
                <w:szCs w:val="28"/>
                <w:shd w:val="clear" w:color="auto" w:fill="FFFFFF"/>
                <w:lang w:val="vi-VN"/>
              </w:rPr>
            </w:pPr>
            <w:r w:rsidRPr="00F55EF4">
              <w:rPr>
                <w:color w:val="1F1F1F"/>
                <w:sz w:val="28"/>
                <w:szCs w:val="28"/>
                <w:shd w:val="clear" w:color="auto" w:fill="FFFFFF"/>
              </w:rPr>
              <w:t>Vai trò giám sát của Thường trực HĐND, các Ban, Tổ đại biểu là việc cụ thể hóa chức năng giám sát thi hành nghị quyết theo Luật Tổ chức chính quyền địa phương, tạo cơ chế kiểm soát độc lập với cơ quan tổ chức thực hiện.</w:t>
            </w:r>
          </w:p>
          <w:p w:rsidR="00AF5F60" w:rsidRPr="00767070" w:rsidRDefault="00E57CC2" w:rsidP="00E57CC2">
            <w:pPr>
              <w:widowControl w:val="0"/>
              <w:shd w:val="clear" w:color="auto" w:fill="FFFFFF"/>
              <w:spacing w:before="100" w:after="100"/>
              <w:jc w:val="both"/>
              <w:rPr>
                <w:sz w:val="28"/>
                <w:szCs w:val="28"/>
                <w:shd w:val="clear" w:color="auto" w:fill="FFFFFF"/>
                <w:lang w:val="vi-VN"/>
              </w:rPr>
            </w:pPr>
            <w:r w:rsidRPr="00F57F35">
              <w:rPr>
                <w:b/>
                <w:sz w:val="28"/>
                <w:szCs w:val="28"/>
                <w:shd w:val="clear" w:color="auto" w:fill="FFFFFF"/>
                <w:lang w:val="vi-VN"/>
              </w:rPr>
              <w:t>Tác động dự kiến</w:t>
            </w:r>
            <w:r w:rsidRPr="00E57CC2">
              <w:rPr>
                <w:sz w:val="28"/>
                <w:szCs w:val="28"/>
                <w:shd w:val="clear" w:color="auto" w:fill="FFFFFF"/>
                <w:lang w:val="vi-VN"/>
              </w:rPr>
              <w:t xml:space="preserve">: Bảo đảm đúng nguyên tắc phân cấp (HĐND ban hành chính sách, UBND tổ chức </w:t>
            </w:r>
            <w:r w:rsidRPr="00E57CC2">
              <w:rPr>
                <w:sz w:val="28"/>
                <w:szCs w:val="28"/>
                <w:shd w:val="clear" w:color="auto" w:fill="FFFFFF"/>
                <w:lang w:val="vi-VN"/>
              </w:rPr>
              <w:lastRenderedPageBreak/>
              <w:t>thực hiện, Sở KH&amp;CN là đầu mối chuyên môn); tăng cơ chế giám sát xuyên suốt.</w:t>
            </w:r>
          </w:p>
        </w:tc>
        <w:tc>
          <w:tcPr>
            <w:tcW w:w="3219" w:type="dxa"/>
          </w:tcPr>
          <w:p w:rsidR="00AF5F60" w:rsidRPr="00767070" w:rsidRDefault="00866439" w:rsidP="00767070">
            <w:pPr>
              <w:widowControl w:val="0"/>
              <w:shd w:val="clear" w:color="auto" w:fill="FFFFFF"/>
              <w:spacing w:before="100" w:after="100"/>
              <w:jc w:val="both"/>
              <w:rPr>
                <w:sz w:val="28"/>
                <w:szCs w:val="28"/>
                <w:shd w:val="clear" w:color="auto" w:fill="FFFFFF"/>
                <w:lang w:val="vi-VN"/>
              </w:rPr>
            </w:pPr>
            <w:r w:rsidRPr="00866439">
              <w:rPr>
                <w:sz w:val="28"/>
                <w:szCs w:val="28"/>
                <w:shd w:val="clear" w:color="auto" w:fill="FFFFFF"/>
                <w:lang w:val="vi-VN"/>
              </w:rPr>
              <w:lastRenderedPageBreak/>
              <w:t>Phân cấp rõ giữa HĐND - UBND - Sở KH&amp;CN; không phát sinh TTHC mới ngoài Điều 6.</w:t>
            </w:r>
          </w:p>
        </w:tc>
      </w:tr>
      <w:tr w:rsidR="00885C2C" w:rsidRPr="007646BF" w:rsidTr="00D242DE">
        <w:tc>
          <w:tcPr>
            <w:tcW w:w="3153" w:type="dxa"/>
          </w:tcPr>
          <w:p w:rsidR="00885C2C" w:rsidRPr="00A05518" w:rsidRDefault="00D55EC2" w:rsidP="0076049B">
            <w:pPr>
              <w:spacing w:before="120"/>
              <w:jc w:val="both"/>
              <w:rPr>
                <w:b/>
                <w:bCs/>
                <w:sz w:val="28"/>
                <w:szCs w:val="28"/>
                <w:lang w:val="vi-VN"/>
              </w:rPr>
            </w:pPr>
            <w:r w:rsidRPr="00D55EC2">
              <w:rPr>
                <w:b/>
                <w:bCs/>
                <w:sz w:val="28"/>
                <w:szCs w:val="28"/>
                <w:lang w:val="vi-VN"/>
              </w:rPr>
              <w:lastRenderedPageBreak/>
              <w:t xml:space="preserve">Chưa có văn bản quy phạm pháp luật nào </w:t>
            </w:r>
            <w:r w:rsidRPr="00D55EC2">
              <w:rPr>
                <w:bCs/>
                <w:sz w:val="28"/>
                <w:szCs w:val="28"/>
                <w:lang w:val="vi-VN"/>
              </w:rPr>
              <w:t>của HĐND Thành phố quy định về nội dung này.</w:t>
            </w:r>
          </w:p>
        </w:tc>
        <w:tc>
          <w:tcPr>
            <w:tcW w:w="4190" w:type="dxa"/>
          </w:tcPr>
          <w:p w:rsidR="00AF7F59" w:rsidRPr="00AF7F59" w:rsidRDefault="00AF7F59" w:rsidP="00AF7F59">
            <w:pPr>
              <w:widowControl w:val="0"/>
              <w:shd w:val="clear" w:color="auto" w:fill="FFFFFF"/>
              <w:spacing w:before="100" w:after="100"/>
              <w:jc w:val="both"/>
              <w:rPr>
                <w:b/>
                <w:color w:val="1B1C1D"/>
                <w:sz w:val="28"/>
                <w:szCs w:val="28"/>
              </w:rPr>
            </w:pPr>
            <w:r w:rsidRPr="00AF7F59">
              <w:rPr>
                <w:b/>
                <w:color w:val="1B1C1D"/>
                <w:sz w:val="28"/>
                <w:szCs w:val="28"/>
              </w:rPr>
              <w:t>Điều 9. Hiệu lực thi hành</w:t>
            </w:r>
          </w:p>
          <w:p w:rsidR="00885C2C" w:rsidRPr="00AF7F59" w:rsidRDefault="00AF7F59" w:rsidP="00AF7F59">
            <w:pPr>
              <w:widowControl w:val="0"/>
              <w:shd w:val="clear" w:color="auto" w:fill="FFFFFF"/>
              <w:spacing w:before="100" w:after="100"/>
              <w:jc w:val="both"/>
              <w:rPr>
                <w:color w:val="1B1C1D"/>
                <w:sz w:val="28"/>
                <w:szCs w:val="28"/>
              </w:rPr>
            </w:pPr>
            <w:r w:rsidRPr="00AF7F59">
              <w:rPr>
                <w:color w:val="1B1C1D"/>
                <w:sz w:val="28"/>
                <w:szCs w:val="28"/>
              </w:rPr>
              <w:t>Nghị quyết có hiệu lực kể từ ngày HĐND Thành phố thông qua và ký ban hành; văn bản dẫn chiếu được sửa đổi, thay thế thì áp dụng theo văn bản mới.</w:t>
            </w:r>
          </w:p>
        </w:tc>
        <w:tc>
          <w:tcPr>
            <w:tcW w:w="4281" w:type="dxa"/>
          </w:tcPr>
          <w:p w:rsidR="00F57F35" w:rsidRPr="00F57F35" w:rsidRDefault="00F57F35" w:rsidP="00F57F35">
            <w:pPr>
              <w:widowControl w:val="0"/>
              <w:shd w:val="clear" w:color="auto" w:fill="FFFFFF"/>
              <w:spacing w:before="100" w:after="100"/>
              <w:jc w:val="both"/>
              <w:rPr>
                <w:sz w:val="28"/>
                <w:szCs w:val="28"/>
                <w:shd w:val="clear" w:color="auto" w:fill="FFFFFF"/>
                <w:lang w:val="vi-VN"/>
              </w:rPr>
            </w:pPr>
            <w:r w:rsidRPr="00F57F35">
              <w:rPr>
                <w:b/>
                <w:sz w:val="28"/>
                <w:szCs w:val="28"/>
                <w:shd w:val="clear" w:color="auto" w:fill="FFFFFF"/>
                <w:lang w:val="vi-VN"/>
              </w:rPr>
              <w:t>Cơ sở pháp lý</w:t>
            </w:r>
            <w:r w:rsidRPr="00F57F35">
              <w:rPr>
                <w:sz w:val="28"/>
                <w:szCs w:val="28"/>
                <w:shd w:val="clear" w:color="auto" w:fill="FFFFFF"/>
                <w:lang w:val="vi-VN"/>
              </w:rPr>
              <w:t>: Luật Ban hành văn bản quy phạm pháp luật số 64/2025/QH15.</w:t>
            </w:r>
          </w:p>
          <w:p w:rsidR="00F57F35" w:rsidRPr="00F57F35" w:rsidRDefault="00F57F35" w:rsidP="00F57F35">
            <w:pPr>
              <w:widowControl w:val="0"/>
              <w:shd w:val="clear" w:color="auto" w:fill="FFFFFF"/>
              <w:spacing w:before="100" w:after="100"/>
              <w:jc w:val="both"/>
              <w:rPr>
                <w:sz w:val="28"/>
                <w:szCs w:val="28"/>
                <w:shd w:val="clear" w:color="auto" w:fill="FFFFFF"/>
                <w:lang w:val="vi-VN"/>
              </w:rPr>
            </w:pPr>
            <w:r w:rsidRPr="00F57F35">
              <w:rPr>
                <w:b/>
                <w:sz w:val="28"/>
                <w:szCs w:val="28"/>
                <w:shd w:val="clear" w:color="auto" w:fill="FFFFFF"/>
                <w:lang w:val="vi-VN"/>
              </w:rPr>
              <w:t>Lý do</w:t>
            </w:r>
            <w:r w:rsidRPr="00F57F35">
              <w:rPr>
                <w:sz w:val="28"/>
                <w:szCs w:val="28"/>
                <w:shd w:val="clear" w:color="auto" w:fill="FFFFFF"/>
                <w:lang w:val="vi-VN"/>
              </w:rPr>
              <w:t>: Luật Công nghiệp công nghệ số đã có hiệu lực từ 01/01/2026; việc ban hành Nghị quyết tại thời điểm hiện tại là kịp thời, phù hợp quy định.</w:t>
            </w:r>
          </w:p>
          <w:p w:rsidR="00885C2C" w:rsidRPr="00767070" w:rsidRDefault="00F57F35" w:rsidP="00F57F35">
            <w:pPr>
              <w:widowControl w:val="0"/>
              <w:shd w:val="clear" w:color="auto" w:fill="FFFFFF"/>
              <w:spacing w:before="100" w:after="100"/>
              <w:jc w:val="both"/>
              <w:rPr>
                <w:sz w:val="28"/>
                <w:szCs w:val="28"/>
                <w:shd w:val="clear" w:color="auto" w:fill="FFFFFF"/>
                <w:lang w:val="vi-VN"/>
              </w:rPr>
            </w:pPr>
            <w:r w:rsidRPr="00F57F35">
              <w:rPr>
                <w:b/>
                <w:sz w:val="28"/>
                <w:szCs w:val="28"/>
                <w:shd w:val="clear" w:color="auto" w:fill="FFFFFF"/>
                <w:lang w:val="vi-VN"/>
              </w:rPr>
              <w:t>Tác động dự kiến</w:t>
            </w:r>
            <w:r w:rsidRPr="00F57F35">
              <w:rPr>
                <w:sz w:val="28"/>
                <w:szCs w:val="28"/>
                <w:shd w:val="clear" w:color="auto" w:fill="FFFFFF"/>
                <w:lang w:val="vi-VN"/>
              </w:rPr>
              <w:t>: Bảo đảm tính liên tục, không tạo khoảng trống pháp lý khi văn bản cấp trên có thay đổi.</w:t>
            </w:r>
          </w:p>
        </w:tc>
        <w:tc>
          <w:tcPr>
            <w:tcW w:w="3219" w:type="dxa"/>
          </w:tcPr>
          <w:p w:rsidR="00885C2C" w:rsidRPr="00767070" w:rsidRDefault="000D51EE" w:rsidP="00767070">
            <w:pPr>
              <w:widowControl w:val="0"/>
              <w:shd w:val="clear" w:color="auto" w:fill="FFFFFF"/>
              <w:spacing w:before="100" w:after="100"/>
              <w:jc w:val="both"/>
              <w:rPr>
                <w:sz w:val="28"/>
                <w:szCs w:val="28"/>
                <w:shd w:val="clear" w:color="auto" w:fill="FFFFFF"/>
                <w:lang w:val="vi-VN"/>
              </w:rPr>
            </w:pPr>
            <w:r w:rsidRPr="000D51EE">
              <w:rPr>
                <w:sz w:val="28"/>
                <w:szCs w:val="28"/>
                <w:shd w:val="clear" w:color="auto" w:fill="FFFFFF"/>
                <w:lang w:val="vi-VN"/>
              </w:rPr>
              <w:t>Không phát sinh TTHC mới.</w:t>
            </w:r>
          </w:p>
        </w:tc>
      </w:tr>
    </w:tbl>
    <w:p w:rsidR="00383F3D" w:rsidRPr="0076049B" w:rsidRDefault="00383F3D" w:rsidP="00521980">
      <w:pPr>
        <w:spacing w:before="120"/>
        <w:jc w:val="right"/>
        <w:rPr>
          <w:b/>
          <w:bCs/>
          <w:iCs/>
          <w:color w:val="FF0000"/>
          <w:sz w:val="26"/>
          <w:szCs w:val="26"/>
          <w:lang w:val="de-DE"/>
        </w:rPr>
      </w:pPr>
    </w:p>
    <w:sectPr w:rsidR="00383F3D" w:rsidRPr="0076049B" w:rsidSect="00936E31">
      <w:headerReference w:type="default" r:id="rId7"/>
      <w:footerReference w:type="even" r:id="rId8"/>
      <w:footerReference w:type="default" r:id="rId9"/>
      <w:pgSz w:w="16840" w:h="11907" w:orient="landscape" w:code="9"/>
      <w:pgMar w:top="1134" w:right="1134" w:bottom="1134" w:left="1701" w:header="431"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AEA" w:rsidRPr="00DB730F" w:rsidRDefault="006E3AEA">
      <w:r w:rsidRPr="00DB730F">
        <w:separator/>
      </w:r>
    </w:p>
  </w:endnote>
  <w:endnote w:type="continuationSeparator" w:id="0">
    <w:p w:rsidR="006E3AEA" w:rsidRPr="00DB730F" w:rsidRDefault="006E3AEA">
      <w:r w:rsidRPr="00DB73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98C" w:rsidRPr="00DB730F" w:rsidRDefault="001E698C" w:rsidP="00BE7763">
    <w:pPr>
      <w:pStyle w:val="Footer"/>
      <w:framePr w:wrap="around" w:vAnchor="text" w:hAnchor="margin" w:xAlign="right" w:y="1"/>
      <w:rPr>
        <w:rStyle w:val="PageNumber"/>
      </w:rPr>
    </w:pPr>
    <w:r w:rsidRPr="00DB730F">
      <w:rPr>
        <w:rStyle w:val="PageNumber"/>
      </w:rPr>
      <w:fldChar w:fldCharType="begin"/>
    </w:r>
    <w:r w:rsidRPr="00DB730F">
      <w:rPr>
        <w:rStyle w:val="PageNumber"/>
      </w:rPr>
      <w:instrText xml:space="preserve">PAGE  </w:instrText>
    </w:r>
    <w:r w:rsidRPr="00DB730F">
      <w:rPr>
        <w:rStyle w:val="PageNumber"/>
      </w:rPr>
      <w:fldChar w:fldCharType="end"/>
    </w:r>
  </w:p>
  <w:p w:rsidR="001E698C" w:rsidRPr="00DB730F" w:rsidRDefault="001E698C" w:rsidP="00BE7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98C" w:rsidRPr="00DB730F" w:rsidRDefault="001E698C" w:rsidP="00BE77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AEA" w:rsidRPr="00DB730F" w:rsidRDefault="006E3AEA">
      <w:r w:rsidRPr="00DB730F">
        <w:separator/>
      </w:r>
    </w:p>
  </w:footnote>
  <w:footnote w:type="continuationSeparator" w:id="0">
    <w:p w:rsidR="006E3AEA" w:rsidRPr="00DB730F" w:rsidRDefault="006E3AEA">
      <w:r w:rsidRPr="00DB73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98C" w:rsidRPr="00DB730F" w:rsidRDefault="001E698C" w:rsidP="00391D3A">
    <w:pPr>
      <w:pStyle w:val="Header"/>
      <w:jc w:val="center"/>
    </w:pPr>
    <w:r w:rsidRPr="00DB730F">
      <w:fldChar w:fldCharType="begin"/>
    </w:r>
    <w:r w:rsidRPr="00DB730F">
      <w:instrText xml:space="preserve"> PAGE   \* MERGEFORMAT </w:instrText>
    </w:r>
    <w:r w:rsidRPr="00DB730F">
      <w:fldChar w:fldCharType="separate"/>
    </w:r>
    <w:r w:rsidR="00511592">
      <w:t>2</w:t>
    </w:r>
    <w:r w:rsidRPr="00DB730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985"/>
    <w:multiLevelType w:val="hybridMultilevel"/>
    <w:tmpl w:val="439E6674"/>
    <w:lvl w:ilvl="0" w:tplc="140C6E5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19E0935"/>
    <w:multiLevelType w:val="hybridMultilevel"/>
    <w:tmpl w:val="D026D2C8"/>
    <w:lvl w:ilvl="0" w:tplc="E66091B8">
      <w:start w:val="1"/>
      <w:numFmt w:val="bullet"/>
      <w:lvlText w:val="-"/>
      <w:lvlJc w:val="left"/>
      <w:pPr>
        <w:tabs>
          <w:tab w:val="num" w:pos="1222"/>
        </w:tabs>
        <w:ind w:left="1222" w:hanging="360"/>
      </w:pPr>
      <w:rPr>
        <w:rFonts w:ascii="Times New Roman" w:eastAsia="Times New Roman" w:hAnsi="Times New Roman" w:cs="Times New Roman" w:hint="default"/>
      </w:rPr>
    </w:lvl>
    <w:lvl w:ilvl="1" w:tplc="04090003" w:tentative="1">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24BA3D04"/>
    <w:multiLevelType w:val="hybridMultilevel"/>
    <w:tmpl w:val="19FC4E70"/>
    <w:lvl w:ilvl="0" w:tplc="CB2026A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74E19A8"/>
    <w:multiLevelType w:val="hybridMultilevel"/>
    <w:tmpl w:val="3D1A7FE6"/>
    <w:lvl w:ilvl="0" w:tplc="B9D4AE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D52FF"/>
    <w:multiLevelType w:val="hybridMultilevel"/>
    <w:tmpl w:val="46360DCE"/>
    <w:lvl w:ilvl="0" w:tplc="60E476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4C76496"/>
    <w:multiLevelType w:val="hybridMultilevel"/>
    <w:tmpl w:val="77F44468"/>
    <w:lvl w:ilvl="0" w:tplc="6340FF5E">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76403"/>
    <w:multiLevelType w:val="hybridMultilevel"/>
    <w:tmpl w:val="1E588002"/>
    <w:lvl w:ilvl="0" w:tplc="19123A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59A964CB"/>
    <w:multiLevelType w:val="hybridMultilevel"/>
    <w:tmpl w:val="F8A6A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621352"/>
    <w:multiLevelType w:val="hybridMultilevel"/>
    <w:tmpl w:val="9D30BEB4"/>
    <w:lvl w:ilvl="0" w:tplc="87BA65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D323C"/>
    <w:multiLevelType w:val="hybridMultilevel"/>
    <w:tmpl w:val="0A78FB36"/>
    <w:lvl w:ilvl="0" w:tplc="FEF0E460">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66E54A4"/>
    <w:multiLevelType w:val="hybridMultilevel"/>
    <w:tmpl w:val="A00ECD7C"/>
    <w:lvl w:ilvl="0" w:tplc="6992649A">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ACD09D6"/>
    <w:multiLevelType w:val="hybridMultilevel"/>
    <w:tmpl w:val="1E588002"/>
    <w:lvl w:ilvl="0" w:tplc="19123A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734B5C58"/>
    <w:multiLevelType w:val="hybridMultilevel"/>
    <w:tmpl w:val="5E509DBC"/>
    <w:lvl w:ilvl="0" w:tplc="34C4CA3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7"/>
  </w:num>
  <w:num w:numId="3">
    <w:abstractNumId w:val="10"/>
  </w:num>
  <w:num w:numId="4">
    <w:abstractNumId w:val="6"/>
  </w:num>
  <w:num w:numId="5">
    <w:abstractNumId w:val="0"/>
  </w:num>
  <w:num w:numId="6">
    <w:abstractNumId w:val="3"/>
  </w:num>
  <w:num w:numId="7">
    <w:abstractNumId w:val="11"/>
  </w:num>
  <w:num w:numId="8">
    <w:abstractNumId w:val="4"/>
  </w:num>
  <w:num w:numId="9">
    <w:abstractNumId w:val="12"/>
  </w:num>
  <w:num w:numId="10">
    <w:abstractNumId w:val="9"/>
  </w:num>
  <w:num w:numId="11">
    <w:abstractNumId w:val="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2E"/>
    <w:rsid w:val="000007CF"/>
    <w:rsid w:val="00002D49"/>
    <w:rsid w:val="00010301"/>
    <w:rsid w:val="00017C28"/>
    <w:rsid w:val="00017F47"/>
    <w:rsid w:val="000252F7"/>
    <w:rsid w:val="000270A3"/>
    <w:rsid w:val="000444A9"/>
    <w:rsid w:val="00044B69"/>
    <w:rsid w:val="00046C6E"/>
    <w:rsid w:val="00051721"/>
    <w:rsid w:val="00052538"/>
    <w:rsid w:val="00052A37"/>
    <w:rsid w:val="00053E77"/>
    <w:rsid w:val="00057BA6"/>
    <w:rsid w:val="00060472"/>
    <w:rsid w:val="00061BDC"/>
    <w:rsid w:val="0006254A"/>
    <w:rsid w:val="00070354"/>
    <w:rsid w:val="000711DD"/>
    <w:rsid w:val="000760F7"/>
    <w:rsid w:val="00080184"/>
    <w:rsid w:val="00083F2E"/>
    <w:rsid w:val="00085D9E"/>
    <w:rsid w:val="0008690B"/>
    <w:rsid w:val="00092C8A"/>
    <w:rsid w:val="00092E0F"/>
    <w:rsid w:val="000A0BF1"/>
    <w:rsid w:val="000B750C"/>
    <w:rsid w:val="000C3D71"/>
    <w:rsid w:val="000C6884"/>
    <w:rsid w:val="000D0452"/>
    <w:rsid w:val="000D2293"/>
    <w:rsid w:val="000D51EE"/>
    <w:rsid w:val="000D754E"/>
    <w:rsid w:val="000D7F08"/>
    <w:rsid w:val="000E05CA"/>
    <w:rsid w:val="000E097F"/>
    <w:rsid w:val="000E14E3"/>
    <w:rsid w:val="000E463F"/>
    <w:rsid w:val="000E5E30"/>
    <w:rsid w:val="000E6DA2"/>
    <w:rsid w:val="000F03F5"/>
    <w:rsid w:val="000F46A0"/>
    <w:rsid w:val="000F4E5D"/>
    <w:rsid w:val="000F78BE"/>
    <w:rsid w:val="000F7D7C"/>
    <w:rsid w:val="001002D0"/>
    <w:rsid w:val="00103866"/>
    <w:rsid w:val="001048DF"/>
    <w:rsid w:val="001166AC"/>
    <w:rsid w:val="001216D0"/>
    <w:rsid w:val="001309E0"/>
    <w:rsid w:val="00131E08"/>
    <w:rsid w:val="00142811"/>
    <w:rsid w:val="00143577"/>
    <w:rsid w:val="00147156"/>
    <w:rsid w:val="00153D3C"/>
    <w:rsid w:val="001606B8"/>
    <w:rsid w:val="00162105"/>
    <w:rsid w:val="00163FCF"/>
    <w:rsid w:val="00167858"/>
    <w:rsid w:val="00167DED"/>
    <w:rsid w:val="0017045C"/>
    <w:rsid w:val="00170B67"/>
    <w:rsid w:val="00170E45"/>
    <w:rsid w:val="00173DBC"/>
    <w:rsid w:val="0017402D"/>
    <w:rsid w:val="00176658"/>
    <w:rsid w:val="0018205D"/>
    <w:rsid w:val="001849EC"/>
    <w:rsid w:val="00186339"/>
    <w:rsid w:val="001865BE"/>
    <w:rsid w:val="00187428"/>
    <w:rsid w:val="00187526"/>
    <w:rsid w:val="001977F8"/>
    <w:rsid w:val="00197DDB"/>
    <w:rsid w:val="001A0B76"/>
    <w:rsid w:val="001A10F5"/>
    <w:rsid w:val="001A51F7"/>
    <w:rsid w:val="001A5313"/>
    <w:rsid w:val="001A5632"/>
    <w:rsid w:val="001A7290"/>
    <w:rsid w:val="001B2072"/>
    <w:rsid w:val="001C17F5"/>
    <w:rsid w:val="001C4DA8"/>
    <w:rsid w:val="001D1B13"/>
    <w:rsid w:val="001D3BA1"/>
    <w:rsid w:val="001E441B"/>
    <w:rsid w:val="001E4A94"/>
    <w:rsid w:val="001E698C"/>
    <w:rsid w:val="001F70C5"/>
    <w:rsid w:val="001F7E3A"/>
    <w:rsid w:val="00202607"/>
    <w:rsid w:val="002049D9"/>
    <w:rsid w:val="00206CF4"/>
    <w:rsid w:val="00210165"/>
    <w:rsid w:val="00213C39"/>
    <w:rsid w:val="00217360"/>
    <w:rsid w:val="0021738D"/>
    <w:rsid w:val="00220EE5"/>
    <w:rsid w:val="002230D8"/>
    <w:rsid w:val="00226425"/>
    <w:rsid w:val="00232C29"/>
    <w:rsid w:val="002343D8"/>
    <w:rsid w:val="0023578C"/>
    <w:rsid w:val="0024028F"/>
    <w:rsid w:val="00244788"/>
    <w:rsid w:val="00250081"/>
    <w:rsid w:val="00250177"/>
    <w:rsid w:val="00250AF8"/>
    <w:rsid w:val="00252C8B"/>
    <w:rsid w:val="00252CC2"/>
    <w:rsid w:val="00253252"/>
    <w:rsid w:val="00254AA7"/>
    <w:rsid w:val="002560E3"/>
    <w:rsid w:val="00265ABA"/>
    <w:rsid w:val="00265C71"/>
    <w:rsid w:val="00272A49"/>
    <w:rsid w:val="002751D0"/>
    <w:rsid w:val="002765E6"/>
    <w:rsid w:val="00280C1D"/>
    <w:rsid w:val="00280CB6"/>
    <w:rsid w:val="002815C4"/>
    <w:rsid w:val="00284310"/>
    <w:rsid w:val="002854E7"/>
    <w:rsid w:val="0028602A"/>
    <w:rsid w:val="00287496"/>
    <w:rsid w:val="00290D88"/>
    <w:rsid w:val="00291686"/>
    <w:rsid w:val="00291B41"/>
    <w:rsid w:val="002A186D"/>
    <w:rsid w:val="002A3F9A"/>
    <w:rsid w:val="002A5809"/>
    <w:rsid w:val="002A61A2"/>
    <w:rsid w:val="002A6E4C"/>
    <w:rsid w:val="002B0F83"/>
    <w:rsid w:val="002B1A20"/>
    <w:rsid w:val="002B1D90"/>
    <w:rsid w:val="002B78A4"/>
    <w:rsid w:val="002C4A0C"/>
    <w:rsid w:val="002D0C54"/>
    <w:rsid w:val="002D1EDD"/>
    <w:rsid w:val="002D25B0"/>
    <w:rsid w:val="002D34CD"/>
    <w:rsid w:val="002D3640"/>
    <w:rsid w:val="002E1D05"/>
    <w:rsid w:val="002E441A"/>
    <w:rsid w:val="002E7B6F"/>
    <w:rsid w:val="002F04B7"/>
    <w:rsid w:val="002F4CE1"/>
    <w:rsid w:val="003059B9"/>
    <w:rsid w:val="00305D5B"/>
    <w:rsid w:val="00307DE3"/>
    <w:rsid w:val="00310EA3"/>
    <w:rsid w:val="00320BFF"/>
    <w:rsid w:val="0032247C"/>
    <w:rsid w:val="00327700"/>
    <w:rsid w:val="0033266E"/>
    <w:rsid w:val="00334A24"/>
    <w:rsid w:val="00336DFB"/>
    <w:rsid w:val="00340E97"/>
    <w:rsid w:val="00340F98"/>
    <w:rsid w:val="00346EB2"/>
    <w:rsid w:val="003538A2"/>
    <w:rsid w:val="00353EEE"/>
    <w:rsid w:val="00356092"/>
    <w:rsid w:val="0036009B"/>
    <w:rsid w:val="00360D43"/>
    <w:rsid w:val="0036256B"/>
    <w:rsid w:val="00367725"/>
    <w:rsid w:val="003734ED"/>
    <w:rsid w:val="00374B29"/>
    <w:rsid w:val="00377B59"/>
    <w:rsid w:val="00382215"/>
    <w:rsid w:val="00382F4D"/>
    <w:rsid w:val="00383F3D"/>
    <w:rsid w:val="00384E1C"/>
    <w:rsid w:val="003852DA"/>
    <w:rsid w:val="00385A79"/>
    <w:rsid w:val="00390500"/>
    <w:rsid w:val="00391769"/>
    <w:rsid w:val="00391D3A"/>
    <w:rsid w:val="00394D4E"/>
    <w:rsid w:val="00396895"/>
    <w:rsid w:val="003A4D7D"/>
    <w:rsid w:val="003B1484"/>
    <w:rsid w:val="003B39A0"/>
    <w:rsid w:val="003B4EEC"/>
    <w:rsid w:val="003B5392"/>
    <w:rsid w:val="003C01DE"/>
    <w:rsid w:val="003C0DB5"/>
    <w:rsid w:val="003C2D8E"/>
    <w:rsid w:val="003C6F26"/>
    <w:rsid w:val="003D0BB6"/>
    <w:rsid w:val="003D330F"/>
    <w:rsid w:val="003D3F8E"/>
    <w:rsid w:val="003D76F1"/>
    <w:rsid w:val="003E3B15"/>
    <w:rsid w:val="003E5794"/>
    <w:rsid w:val="003E75AC"/>
    <w:rsid w:val="003F3D58"/>
    <w:rsid w:val="003F7452"/>
    <w:rsid w:val="0040094D"/>
    <w:rsid w:val="00406427"/>
    <w:rsid w:val="0041456A"/>
    <w:rsid w:val="00416339"/>
    <w:rsid w:val="00434BF1"/>
    <w:rsid w:val="00436031"/>
    <w:rsid w:val="00441943"/>
    <w:rsid w:val="00450223"/>
    <w:rsid w:val="00453272"/>
    <w:rsid w:val="00454B89"/>
    <w:rsid w:val="004568A6"/>
    <w:rsid w:val="00456E45"/>
    <w:rsid w:val="00457E7D"/>
    <w:rsid w:val="00467502"/>
    <w:rsid w:val="00467AF9"/>
    <w:rsid w:val="00472C0B"/>
    <w:rsid w:val="0047428F"/>
    <w:rsid w:val="00476E48"/>
    <w:rsid w:val="00486EF0"/>
    <w:rsid w:val="004909FF"/>
    <w:rsid w:val="00497410"/>
    <w:rsid w:val="004A1203"/>
    <w:rsid w:val="004A41C8"/>
    <w:rsid w:val="004A5FB6"/>
    <w:rsid w:val="004A671F"/>
    <w:rsid w:val="004B2A73"/>
    <w:rsid w:val="004B3991"/>
    <w:rsid w:val="004B7802"/>
    <w:rsid w:val="004B7F48"/>
    <w:rsid w:val="004B7F4C"/>
    <w:rsid w:val="004C0579"/>
    <w:rsid w:val="004C4B14"/>
    <w:rsid w:val="004D1B08"/>
    <w:rsid w:val="004D2E9D"/>
    <w:rsid w:val="004E0414"/>
    <w:rsid w:val="004E1037"/>
    <w:rsid w:val="004E1473"/>
    <w:rsid w:val="004E26AA"/>
    <w:rsid w:val="004E2888"/>
    <w:rsid w:val="004E3B8F"/>
    <w:rsid w:val="004E5CA3"/>
    <w:rsid w:val="004F1037"/>
    <w:rsid w:val="004F215B"/>
    <w:rsid w:val="004F3456"/>
    <w:rsid w:val="004F6BE3"/>
    <w:rsid w:val="00501118"/>
    <w:rsid w:val="00502119"/>
    <w:rsid w:val="00502995"/>
    <w:rsid w:val="00503C6E"/>
    <w:rsid w:val="005052FF"/>
    <w:rsid w:val="00510CF9"/>
    <w:rsid w:val="00511592"/>
    <w:rsid w:val="0051268C"/>
    <w:rsid w:val="00521980"/>
    <w:rsid w:val="005257CC"/>
    <w:rsid w:val="005311FC"/>
    <w:rsid w:val="00531371"/>
    <w:rsid w:val="00531909"/>
    <w:rsid w:val="0053340A"/>
    <w:rsid w:val="00534912"/>
    <w:rsid w:val="00541AF4"/>
    <w:rsid w:val="00550934"/>
    <w:rsid w:val="00557206"/>
    <w:rsid w:val="005621A9"/>
    <w:rsid w:val="00563293"/>
    <w:rsid w:val="005678E6"/>
    <w:rsid w:val="00570AC9"/>
    <w:rsid w:val="00573C84"/>
    <w:rsid w:val="00584CD5"/>
    <w:rsid w:val="005876B0"/>
    <w:rsid w:val="00591F58"/>
    <w:rsid w:val="00592668"/>
    <w:rsid w:val="00593CA3"/>
    <w:rsid w:val="005A4F85"/>
    <w:rsid w:val="005A58C2"/>
    <w:rsid w:val="005A5D84"/>
    <w:rsid w:val="005A7FA3"/>
    <w:rsid w:val="005B038B"/>
    <w:rsid w:val="005B161C"/>
    <w:rsid w:val="005B4BAC"/>
    <w:rsid w:val="005C1946"/>
    <w:rsid w:val="005C4597"/>
    <w:rsid w:val="005C5244"/>
    <w:rsid w:val="005C54B7"/>
    <w:rsid w:val="005C5D5F"/>
    <w:rsid w:val="005C7B8B"/>
    <w:rsid w:val="005D176E"/>
    <w:rsid w:val="005E3E8E"/>
    <w:rsid w:val="005E4076"/>
    <w:rsid w:val="005E5476"/>
    <w:rsid w:val="005F5BEF"/>
    <w:rsid w:val="005F6700"/>
    <w:rsid w:val="00602239"/>
    <w:rsid w:val="00604A8C"/>
    <w:rsid w:val="00605001"/>
    <w:rsid w:val="006221C8"/>
    <w:rsid w:val="006233D4"/>
    <w:rsid w:val="00633891"/>
    <w:rsid w:val="00633914"/>
    <w:rsid w:val="006424FE"/>
    <w:rsid w:val="00644166"/>
    <w:rsid w:val="00647CB5"/>
    <w:rsid w:val="0065104A"/>
    <w:rsid w:val="00651196"/>
    <w:rsid w:val="0065686D"/>
    <w:rsid w:val="006615C0"/>
    <w:rsid w:val="006678F4"/>
    <w:rsid w:val="00676388"/>
    <w:rsid w:val="00676561"/>
    <w:rsid w:val="00680193"/>
    <w:rsid w:val="006829B7"/>
    <w:rsid w:val="0068537E"/>
    <w:rsid w:val="00685549"/>
    <w:rsid w:val="00685989"/>
    <w:rsid w:val="006878ED"/>
    <w:rsid w:val="006937E6"/>
    <w:rsid w:val="0069742D"/>
    <w:rsid w:val="006B1848"/>
    <w:rsid w:val="006B4009"/>
    <w:rsid w:val="006C789D"/>
    <w:rsid w:val="006E15DF"/>
    <w:rsid w:val="006E2E2D"/>
    <w:rsid w:val="006E3AEA"/>
    <w:rsid w:val="006E5C6B"/>
    <w:rsid w:val="006F4AF2"/>
    <w:rsid w:val="00701EAD"/>
    <w:rsid w:val="0070363E"/>
    <w:rsid w:val="00705D05"/>
    <w:rsid w:val="00707191"/>
    <w:rsid w:val="00707BF3"/>
    <w:rsid w:val="0071225F"/>
    <w:rsid w:val="007144F9"/>
    <w:rsid w:val="00717666"/>
    <w:rsid w:val="00717A4C"/>
    <w:rsid w:val="00720AE7"/>
    <w:rsid w:val="007264EC"/>
    <w:rsid w:val="00727851"/>
    <w:rsid w:val="00732C1C"/>
    <w:rsid w:val="0073518C"/>
    <w:rsid w:val="0073520D"/>
    <w:rsid w:val="00736FD6"/>
    <w:rsid w:val="00741A9A"/>
    <w:rsid w:val="007433AF"/>
    <w:rsid w:val="00745F55"/>
    <w:rsid w:val="0075193A"/>
    <w:rsid w:val="007540A0"/>
    <w:rsid w:val="00755EEE"/>
    <w:rsid w:val="0076049B"/>
    <w:rsid w:val="007636BE"/>
    <w:rsid w:val="007646BF"/>
    <w:rsid w:val="00767070"/>
    <w:rsid w:val="007718B9"/>
    <w:rsid w:val="00771904"/>
    <w:rsid w:val="007741AF"/>
    <w:rsid w:val="0078005B"/>
    <w:rsid w:val="007864E7"/>
    <w:rsid w:val="007869EA"/>
    <w:rsid w:val="00790E4C"/>
    <w:rsid w:val="007941FE"/>
    <w:rsid w:val="00794DC0"/>
    <w:rsid w:val="007A091C"/>
    <w:rsid w:val="007A0922"/>
    <w:rsid w:val="007A3043"/>
    <w:rsid w:val="007A4F35"/>
    <w:rsid w:val="007A573E"/>
    <w:rsid w:val="007A6F12"/>
    <w:rsid w:val="007A74D8"/>
    <w:rsid w:val="007B06E9"/>
    <w:rsid w:val="007B493E"/>
    <w:rsid w:val="007B551F"/>
    <w:rsid w:val="007B7C53"/>
    <w:rsid w:val="007C0FB9"/>
    <w:rsid w:val="007C2AC2"/>
    <w:rsid w:val="007C3D81"/>
    <w:rsid w:val="007C4490"/>
    <w:rsid w:val="007D1C03"/>
    <w:rsid w:val="007D2A44"/>
    <w:rsid w:val="007D5BCC"/>
    <w:rsid w:val="007D62C0"/>
    <w:rsid w:val="007E4C61"/>
    <w:rsid w:val="007E634D"/>
    <w:rsid w:val="007E731B"/>
    <w:rsid w:val="007F690E"/>
    <w:rsid w:val="008069A6"/>
    <w:rsid w:val="00810D47"/>
    <w:rsid w:val="00817BA5"/>
    <w:rsid w:val="00822E42"/>
    <w:rsid w:val="00824B96"/>
    <w:rsid w:val="00825E1E"/>
    <w:rsid w:val="00827EFC"/>
    <w:rsid w:val="00837B99"/>
    <w:rsid w:val="00837E3A"/>
    <w:rsid w:val="00840FF4"/>
    <w:rsid w:val="00847054"/>
    <w:rsid w:val="00847FFE"/>
    <w:rsid w:val="008505C9"/>
    <w:rsid w:val="008635A5"/>
    <w:rsid w:val="00866439"/>
    <w:rsid w:val="00876FD8"/>
    <w:rsid w:val="00877682"/>
    <w:rsid w:val="00877B7B"/>
    <w:rsid w:val="00881881"/>
    <w:rsid w:val="0088475D"/>
    <w:rsid w:val="00885C2C"/>
    <w:rsid w:val="00886283"/>
    <w:rsid w:val="00887846"/>
    <w:rsid w:val="00891AD0"/>
    <w:rsid w:val="00891E71"/>
    <w:rsid w:val="008940A6"/>
    <w:rsid w:val="008A2257"/>
    <w:rsid w:val="008A2560"/>
    <w:rsid w:val="008B012B"/>
    <w:rsid w:val="008B08CC"/>
    <w:rsid w:val="008B39C4"/>
    <w:rsid w:val="008B42BC"/>
    <w:rsid w:val="008B4609"/>
    <w:rsid w:val="008B5BBB"/>
    <w:rsid w:val="008C3E6C"/>
    <w:rsid w:val="008D1976"/>
    <w:rsid w:val="008D1E2B"/>
    <w:rsid w:val="008D2FC0"/>
    <w:rsid w:val="008E09AC"/>
    <w:rsid w:val="008E5351"/>
    <w:rsid w:val="008E6923"/>
    <w:rsid w:val="008E6E84"/>
    <w:rsid w:val="008F2847"/>
    <w:rsid w:val="008F2A43"/>
    <w:rsid w:val="008F2B60"/>
    <w:rsid w:val="008F5874"/>
    <w:rsid w:val="00914D30"/>
    <w:rsid w:val="009218DB"/>
    <w:rsid w:val="00922137"/>
    <w:rsid w:val="00926E50"/>
    <w:rsid w:val="00934D66"/>
    <w:rsid w:val="00935638"/>
    <w:rsid w:val="00936E31"/>
    <w:rsid w:val="009436CC"/>
    <w:rsid w:val="009518F2"/>
    <w:rsid w:val="009623B6"/>
    <w:rsid w:val="00964188"/>
    <w:rsid w:val="009672D6"/>
    <w:rsid w:val="0096791A"/>
    <w:rsid w:val="0097172A"/>
    <w:rsid w:val="009719CA"/>
    <w:rsid w:val="009822FB"/>
    <w:rsid w:val="009838D1"/>
    <w:rsid w:val="00987D04"/>
    <w:rsid w:val="0099362B"/>
    <w:rsid w:val="00994DE1"/>
    <w:rsid w:val="0099735F"/>
    <w:rsid w:val="009A351C"/>
    <w:rsid w:val="009A5C4D"/>
    <w:rsid w:val="009A653E"/>
    <w:rsid w:val="009B2231"/>
    <w:rsid w:val="009B6B88"/>
    <w:rsid w:val="009B73FA"/>
    <w:rsid w:val="009D0F84"/>
    <w:rsid w:val="009D3510"/>
    <w:rsid w:val="009D4C34"/>
    <w:rsid w:val="009D5EBC"/>
    <w:rsid w:val="009D7558"/>
    <w:rsid w:val="009E22C1"/>
    <w:rsid w:val="009F10C0"/>
    <w:rsid w:val="009F1F0B"/>
    <w:rsid w:val="009F2835"/>
    <w:rsid w:val="009F4787"/>
    <w:rsid w:val="00A05518"/>
    <w:rsid w:val="00A14588"/>
    <w:rsid w:val="00A16AC9"/>
    <w:rsid w:val="00A17229"/>
    <w:rsid w:val="00A24080"/>
    <w:rsid w:val="00A26755"/>
    <w:rsid w:val="00A26AAB"/>
    <w:rsid w:val="00A3597B"/>
    <w:rsid w:val="00A42586"/>
    <w:rsid w:val="00A43087"/>
    <w:rsid w:val="00A43147"/>
    <w:rsid w:val="00A4431F"/>
    <w:rsid w:val="00A5254B"/>
    <w:rsid w:val="00A547CF"/>
    <w:rsid w:val="00A55085"/>
    <w:rsid w:val="00A55816"/>
    <w:rsid w:val="00A61099"/>
    <w:rsid w:val="00A71375"/>
    <w:rsid w:val="00A80CA6"/>
    <w:rsid w:val="00A87692"/>
    <w:rsid w:val="00A91487"/>
    <w:rsid w:val="00A975D5"/>
    <w:rsid w:val="00A97724"/>
    <w:rsid w:val="00A97F50"/>
    <w:rsid w:val="00AA2F1A"/>
    <w:rsid w:val="00AA31F1"/>
    <w:rsid w:val="00AB6A2F"/>
    <w:rsid w:val="00AC3711"/>
    <w:rsid w:val="00AD0AE5"/>
    <w:rsid w:val="00AD0B71"/>
    <w:rsid w:val="00AD117F"/>
    <w:rsid w:val="00AD39DA"/>
    <w:rsid w:val="00AD73A1"/>
    <w:rsid w:val="00AD7C91"/>
    <w:rsid w:val="00AE0EC6"/>
    <w:rsid w:val="00AE34C3"/>
    <w:rsid w:val="00AE4E11"/>
    <w:rsid w:val="00AE6091"/>
    <w:rsid w:val="00AE655D"/>
    <w:rsid w:val="00AF2686"/>
    <w:rsid w:val="00AF26F6"/>
    <w:rsid w:val="00AF273F"/>
    <w:rsid w:val="00AF5F60"/>
    <w:rsid w:val="00AF723C"/>
    <w:rsid w:val="00AF7F59"/>
    <w:rsid w:val="00B010C4"/>
    <w:rsid w:val="00B0271A"/>
    <w:rsid w:val="00B04125"/>
    <w:rsid w:val="00B051A5"/>
    <w:rsid w:val="00B0677A"/>
    <w:rsid w:val="00B06B00"/>
    <w:rsid w:val="00B07773"/>
    <w:rsid w:val="00B07C8A"/>
    <w:rsid w:val="00B12D6E"/>
    <w:rsid w:val="00B20A75"/>
    <w:rsid w:val="00B25695"/>
    <w:rsid w:val="00B30CA5"/>
    <w:rsid w:val="00B3135B"/>
    <w:rsid w:val="00B33D6E"/>
    <w:rsid w:val="00B358BD"/>
    <w:rsid w:val="00B37A9F"/>
    <w:rsid w:val="00B51CD9"/>
    <w:rsid w:val="00B542CE"/>
    <w:rsid w:val="00B548A0"/>
    <w:rsid w:val="00B575D8"/>
    <w:rsid w:val="00B57DC1"/>
    <w:rsid w:val="00B6163D"/>
    <w:rsid w:val="00B62154"/>
    <w:rsid w:val="00B705EF"/>
    <w:rsid w:val="00B71D36"/>
    <w:rsid w:val="00B74A5D"/>
    <w:rsid w:val="00B81B5F"/>
    <w:rsid w:val="00B82FAD"/>
    <w:rsid w:val="00B861CC"/>
    <w:rsid w:val="00B86249"/>
    <w:rsid w:val="00B90830"/>
    <w:rsid w:val="00B93A5F"/>
    <w:rsid w:val="00BA0DB1"/>
    <w:rsid w:val="00BA14BB"/>
    <w:rsid w:val="00BB4DA2"/>
    <w:rsid w:val="00BB5EC0"/>
    <w:rsid w:val="00BB6F87"/>
    <w:rsid w:val="00BC246D"/>
    <w:rsid w:val="00BC318D"/>
    <w:rsid w:val="00BC6582"/>
    <w:rsid w:val="00BC7BAD"/>
    <w:rsid w:val="00BD38E1"/>
    <w:rsid w:val="00BD653A"/>
    <w:rsid w:val="00BE096D"/>
    <w:rsid w:val="00BE3E68"/>
    <w:rsid w:val="00BE5CE2"/>
    <w:rsid w:val="00BE70EA"/>
    <w:rsid w:val="00BE7763"/>
    <w:rsid w:val="00BF3AD8"/>
    <w:rsid w:val="00C05556"/>
    <w:rsid w:val="00C057ED"/>
    <w:rsid w:val="00C05EE7"/>
    <w:rsid w:val="00C14C36"/>
    <w:rsid w:val="00C14F10"/>
    <w:rsid w:val="00C16F36"/>
    <w:rsid w:val="00C22B6B"/>
    <w:rsid w:val="00C25414"/>
    <w:rsid w:val="00C30FB9"/>
    <w:rsid w:val="00C3299C"/>
    <w:rsid w:val="00C32D6F"/>
    <w:rsid w:val="00C339CE"/>
    <w:rsid w:val="00C37A19"/>
    <w:rsid w:val="00C42C2F"/>
    <w:rsid w:val="00C438C6"/>
    <w:rsid w:val="00C44769"/>
    <w:rsid w:val="00C45918"/>
    <w:rsid w:val="00C569C3"/>
    <w:rsid w:val="00C569DC"/>
    <w:rsid w:val="00C606B1"/>
    <w:rsid w:val="00C613A9"/>
    <w:rsid w:val="00C65D12"/>
    <w:rsid w:val="00C661EB"/>
    <w:rsid w:val="00C730CA"/>
    <w:rsid w:val="00C80AB7"/>
    <w:rsid w:val="00C80D28"/>
    <w:rsid w:val="00C84609"/>
    <w:rsid w:val="00C927A3"/>
    <w:rsid w:val="00C9601C"/>
    <w:rsid w:val="00C97D54"/>
    <w:rsid w:val="00CA270D"/>
    <w:rsid w:val="00CA3ABC"/>
    <w:rsid w:val="00CB0B13"/>
    <w:rsid w:val="00CB23F4"/>
    <w:rsid w:val="00CB2C18"/>
    <w:rsid w:val="00CB6DDE"/>
    <w:rsid w:val="00CC5A46"/>
    <w:rsid w:val="00CC6DA1"/>
    <w:rsid w:val="00CC71FA"/>
    <w:rsid w:val="00CD0401"/>
    <w:rsid w:val="00CD1053"/>
    <w:rsid w:val="00CD2468"/>
    <w:rsid w:val="00CD3191"/>
    <w:rsid w:val="00CD366C"/>
    <w:rsid w:val="00CD4687"/>
    <w:rsid w:val="00CD4826"/>
    <w:rsid w:val="00CD5269"/>
    <w:rsid w:val="00CE0379"/>
    <w:rsid w:val="00CE279C"/>
    <w:rsid w:val="00CE2BC1"/>
    <w:rsid w:val="00CE6DF7"/>
    <w:rsid w:val="00CF7B0F"/>
    <w:rsid w:val="00D0012E"/>
    <w:rsid w:val="00D04076"/>
    <w:rsid w:val="00D100B5"/>
    <w:rsid w:val="00D13355"/>
    <w:rsid w:val="00D220B3"/>
    <w:rsid w:val="00D2348A"/>
    <w:rsid w:val="00D242DE"/>
    <w:rsid w:val="00D26ABD"/>
    <w:rsid w:val="00D3116D"/>
    <w:rsid w:val="00D37B16"/>
    <w:rsid w:val="00D4087F"/>
    <w:rsid w:val="00D42A76"/>
    <w:rsid w:val="00D43340"/>
    <w:rsid w:val="00D43C44"/>
    <w:rsid w:val="00D44AA4"/>
    <w:rsid w:val="00D44B93"/>
    <w:rsid w:val="00D44EA8"/>
    <w:rsid w:val="00D5273C"/>
    <w:rsid w:val="00D55EC2"/>
    <w:rsid w:val="00D628D8"/>
    <w:rsid w:val="00D63486"/>
    <w:rsid w:val="00D63A45"/>
    <w:rsid w:val="00D63CEC"/>
    <w:rsid w:val="00D64208"/>
    <w:rsid w:val="00D701FB"/>
    <w:rsid w:val="00D750EB"/>
    <w:rsid w:val="00D76AA9"/>
    <w:rsid w:val="00D77279"/>
    <w:rsid w:val="00D77AC9"/>
    <w:rsid w:val="00D80888"/>
    <w:rsid w:val="00D81FC6"/>
    <w:rsid w:val="00D82298"/>
    <w:rsid w:val="00D82477"/>
    <w:rsid w:val="00D858A8"/>
    <w:rsid w:val="00D86BD1"/>
    <w:rsid w:val="00D91C09"/>
    <w:rsid w:val="00D92151"/>
    <w:rsid w:val="00D929CA"/>
    <w:rsid w:val="00DA24B4"/>
    <w:rsid w:val="00DA24DD"/>
    <w:rsid w:val="00DA55EA"/>
    <w:rsid w:val="00DB0939"/>
    <w:rsid w:val="00DB1B5C"/>
    <w:rsid w:val="00DB2CF7"/>
    <w:rsid w:val="00DB3314"/>
    <w:rsid w:val="00DB730F"/>
    <w:rsid w:val="00DC31A9"/>
    <w:rsid w:val="00DC3395"/>
    <w:rsid w:val="00DC45D1"/>
    <w:rsid w:val="00DC7A30"/>
    <w:rsid w:val="00DD2F3E"/>
    <w:rsid w:val="00DD5D58"/>
    <w:rsid w:val="00DD6092"/>
    <w:rsid w:val="00DE3492"/>
    <w:rsid w:val="00E10B86"/>
    <w:rsid w:val="00E135DF"/>
    <w:rsid w:val="00E2092F"/>
    <w:rsid w:val="00E44D66"/>
    <w:rsid w:val="00E51D43"/>
    <w:rsid w:val="00E57CC2"/>
    <w:rsid w:val="00E63A33"/>
    <w:rsid w:val="00E673C8"/>
    <w:rsid w:val="00E7076C"/>
    <w:rsid w:val="00E71416"/>
    <w:rsid w:val="00E71F88"/>
    <w:rsid w:val="00E723B1"/>
    <w:rsid w:val="00E74975"/>
    <w:rsid w:val="00E773E2"/>
    <w:rsid w:val="00E85CA4"/>
    <w:rsid w:val="00E85CEF"/>
    <w:rsid w:val="00E86500"/>
    <w:rsid w:val="00E91C5E"/>
    <w:rsid w:val="00E92C6B"/>
    <w:rsid w:val="00E952F2"/>
    <w:rsid w:val="00EA3886"/>
    <w:rsid w:val="00EA483D"/>
    <w:rsid w:val="00EA59E3"/>
    <w:rsid w:val="00EB0FD2"/>
    <w:rsid w:val="00EB65E6"/>
    <w:rsid w:val="00EB6AFD"/>
    <w:rsid w:val="00EC16B5"/>
    <w:rsid w:val="00EC24CB"/>
    <w:rsid w:val="00EC47D4"/>
    <w:rsid w:val="00ED2104"/>
    <w:rsid w:val="00ED6382"/>
    <w:rsid w:val="00EE0195"/>
    <w:rsid w:val="00EE4A92"/>
    <w:rsid w:val="00EE4FD7"/>
    <w:rsid w:val="00EE5BD3"/>
    <w:rsid w:val="00EE74C8"/>
    <w:rsid w:val="00EE7892"/>
    <w:rsid w:val="00EF02E4"/>
    <w:rsid w:val="00EF460A"/>
    <w:rsid w:val="00EF5C55"/>
    <w:rsid w:val="00F02670"/>
    <w:rsid w:val="00F0444B"/>
    <w:rsid w:val="00F212FF"/>
    <w:rsid w:val="00F22770"/>
    <w:rsid w:val="00F22E26"/>
    <w:rsid w:val="00F27BD7"/>
    <w:rsid w:val="00F301DB"/>
    <w:rsid w:val="00F34742"/>
    <w:rsid w:val="00F36D52"/>
    <w:rsid w:val="00F42765"/>
    <w:rsid w:val="00F428CE"/>
    <w:rsid w:val="00F42C93"/>
    <w:rsid w:val="00F43A9E"/>
    <w:rsid w:val="00F446DB"/>
    <w:rsid w:val="00F45378"/>
    <w:rsid w:val="00F52FBB"/>
    <w:rsid w:val="00F55EF4"/>
    <w:rsid w:val="00F5641A"/>
    <w:rsid w:val="00F56DD9"/>
    <w:rsid w:val="00F57F35"/>
    <w:rsid w:val="00F610C1"/>
    <w:rsid w:val="00F62B45"/>
    <w:rsid w:val="00F70D90"/>
    <w:rsid w:val="00F733E6"/>
    <w:rsid w:val="00F73F2D"/>
    <w:rsid w:val="00F754E4"/>
    <w:rsid w:val="00F75C7C"/>
    <w:rsid w:val="00F75DAF"/>
    <w:rsid w:val="00F850C8"/>
    <w:rsid w:val="00F90DE4"/>
    <w:rsid w:val="00F910C3"/>
    <w:rsid w:val="00F91D6B"/>
    <w:rsid w:val="00F9325A"/>
    <w:rsid w:val="00F93BCF"/>
    <w:rsid w:val="00F93BE4"/>
    <w:rsid w:val="00FA0FE6"/>
    <w:rsid w:val="00FA327B"/>
    <w:rsid w:val="00FB05F9"/>
    <w:rsid w:val="00FB1195"/>
    <w:rsid w:val="00FB51B4"/>
    <w:rsid w:val="00FC073F"/>
    <w:rsid w:val="00FC1F62"/>
    <w:rsid w:val="00FC2BB4"/>
    <w:rsid w:val="00FC4FC4"/>
    <w:rsid w:val="00FD7A71"/>
    <w:rsid w:val="00FE2249"/>
    <w:rsid w:val="00FF0331"/>
    <w:rsid w:val="00FF0C70"/>
    <w:rsid w:val="00FF18F9"/>
    <w:rsid w:val="00FF1B09"/>
    <w:rsid w:val="00FF2F93"/>
    <w:rsid w:val="00FF575E"/>
    <w:rsid w:val="00FF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E0E642-1B56-413C-B550-B639E25F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072"/>
    <w:rPr>
      <w:rFonts w:ascii="Times New Roman" w:eastAsia="Times New Roman" w:hAnsi="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012E"/>
    <w:pPr>
      <w:tabs>
        <w:tab w:val="center" w:pos="4320"/>
        <w:tab w:val="right" w:pos="8640"/>
      </w:tabs>
    </w:pPr>
    <w:rPr>
      <w:sz w:val="28"/>
      <w:szCs w:val="28"/>
    </w:rPr>
  </w:style>
  <w:style w:type="character" w:customStyle="1" w:styleId="FooterChar">
    <w:name w:val="Footer Char"/>
    <w:link w:val="Footer"/>
    <w:rsid w:val="00D0012E"/>
    <w:rPr>
      <w:rFonts w:ascii="Times New Roman" w:eastAsia="Times New Roman" w:hAnsi="Times New Roman" w:cs="Times New Roman"/>
      <w:sz w:val="28"/>
      <w:szCs w:val="28"/>
    </w:rPr>
  </w:style>
  <w:style w:type="character" w:styleId="PageNumber">
    <w:name w:val="page number"/>
    <w:basedOn w:val="DefaultParagraphFont"/>
    <w:rsid w:val="00D0012E"/>
  </w:style>
  <w:style w:type="table" w:styleId="TableGrid">
    <w:name w:val="Table Grid"/>
    <w:basedOn w:val="TableNormal"/>
    <w:rsid w:val="00D001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0012E"/>
    <w:pPr>
      <w:ind w:firstLine="720"/>
      <w:jc w:val="both"/>
    </w:pPr>
    <w:rPr>
      <w:sz w:val="28"/>
      <w:szCs w:val="20"/>
    </w:rPr>
  </w:style>
  <w:style w:type="character" w:customStyle="1" w:styleId="BodyTextIndentChar">
    <w:name w:val="Body Text Indent Char"/>
    <w:link w:val="BodyTextIndent"/>
    <w:rsid w:val="00D0012E"/>
    <w:rPr>
      <w:rFonts w:ascii="Times New Roman" w:eastAsia="Times New Roman" w:hAnsi="Times New Roman" w:cs="Times New Roman"/>
      <w:sz w:val="28"/>
      <w:szCs w:val="20"/>
    </w:rPr>
  </w:style>
  <w:style w:type="paragraph" w:customStyle="1" w:styleId="Char">
    <w:name w:val="Char"/>
    <w:basedOn w:val="Normal"/>
    <w:next w:val="Normal"/>
    <w:autoRedefine/>
    <w:rsid w:val="00D0012E"/>
    <w:pPr>
      <w:spacing w:before="120" w:after="120" w:line="312" w:lineRule="auto"/>
    </w:pPr>
    <w:rPr>
      <w:sz w:val="28"/>
      <w:szCs w:val="28"/>
    </w:rPr>
  </w:style>
  <w:style w:type="paragraph" w:styleId="Header">
    <w:name w:val="header"/>
    <w:basedOn w:val="Normal"/>
    <w:link w:val="HeaderChar"/>
    <w:uiPriority w:val="99"/>
    <w:unhideWhenUsed/>
    <w:rsid w:val="00287496"/>
    <w:pPr>
      <w:tabs>
        <w:tab w:val="center" w:pos="4680"/>
        <w:tab w:val="right" w:pos="9360"/>
      </w:tabs>
    </w:pPr>
  </w:style>
  <w:style w:type="character" w:customStyle="1" w:styleId="HeaderChar">
    <w:name w:val="Header Char"/>
    <w:link w:val="Header"/>
    <w:uiPriority w:val="99"/>
    <w:rsid w:val="00287496"/>
    <w:rPr>
      <w:rFonts w:ascii="Times New Roman" w:eastAsia="Times New Roman" w:hAnsi="Times New Roman"/>
      <w:sz w:val="24"/>
      <w:szCs w:val="24"/>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uiPriority w:val="99"/>
    <w:qFormat/>
    <w:rsid w:val="009672D6"/>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locked/>
    <w:rsid w:val="009672D6"/>
    <w:rPr>
      <w:rFonts w:ascii="Times New Roman" w:eastAsia="Times New Roman" w:hAnsi="Times New Roman"/>
      <w:sz w:val="24"/>
      <w:szCs w:val="24"/>
    </w:rPr>
  </w:style>
  <w:style w:type="character" w:styleId="FootnoteReference">
    <w:name w:val="footnote reference"/>
    <w:uiPriority w:val="99"/>
    <w:unhideWhenUsed/>
    <w:rsid w:val="00BC246D"/>
    <w:rPr>
      <w:vertAlign w:val="superscript"/>
    </w:rPr>
  </w:style>
  <w:style w:type="paragraph" w:styleId="FootnoteText">
    <w:name w:val="footnote text"/>
    <w:basedOn w:val="Normal"/>
    <w:link w:val="FootnoteTextChar"/>
    <w:uiPriority w:val="99"/>
    <w:unhideWhenUsed/>
    <w:rsid w:val="00BC246D"/>
    <w:rPr>
      <w:sz w:val="20"/>
      <w:szCs w:val="20"/>
    </w:rPr>
  </w:style>
  <w:style w:type="character" w:customStyle="1" w:styleId="FootnoteTextChar">
    <w:name w:val="Footnote Text Char"/>
    <w:link w:val="FootnoteText"/>
    <w:uiPriority w:val="99"/>
    <w:rsid w:val="00BC246D"/>
    <w:rPr>
      <w:rFonts w:ascii="Times New Roman" w:eastAsia="Times New Roman" w:hAnsi="Times New Roman"/>
    </w:rPr>
  </w:style>
  <w:style w:type="character" w:styleId="Strong">
    <w:name w:val="Strong"/>
    <w:uiPriority w:val="22"/>
    <w:qFormat/>
    <w:rsid w:val="00881881"/>
    <w:rPr>
      <w:b/>
      <w:bCs/>
    </w:rPr>
  </w:style>
  <w:style w:type="paragraph" w:styleId="ListParagraph">
    <w:name w:val="List Paragraph"/>
    <w:basedOn w:val="Normal"/>
    <w:uiPriority w:val="99"/>
    <w:qFormat/>
    <w:rsid w:val="00B33D6E"/>
    <w:pPr>
      <w:spacing w:after="160" w:line="259" w:lineRule="auto"/>
      <w:ind w:left="720"/>
      <w:contextualSpacing/>
    </w:pPr>
    <w:rPr>
      <w:rFonts w:ascii="Calibri" w:eastAsia="Calibri" w:hAnsi="Calibri"/>
      <w:sz w:val="22"/>
      <w:szCs w:val="22"/>
    </w:rPr>
  </w:style>
  <w:style w:type="paragraph" w:customStyle="1" w:styleId="DLTDHP">
    <w:name w:val="DLTDHP"/>
    <w:basedOn w:val="Normal"/>
    <w:rsid w:val="00B33D6E"/>
    <w:pPr>
      <w:jc w:val="center"/>
    </w:pPr>
    <w:rPr>
      <w:rFonts w:ascii=".VnTime" w:hAnsi=".VnTime"/>
      <w:sz w:val="28"/>
      <w:szCs w:val="28"/>
    </w:rPr>
  </w:style>
  <w:style w:type="character" w:styleId="Emphasis">
    <w:name w:val="Emphasis"/>
    <w:uiPriority w:val="20"/>
    <w:qFormat/>
    <w:rsid w:val="00353EEE"/>
    <w:rPr>
      <w:i/>
      <w:iCs/>
    </w:rPr>
  </w:style>
  <w:style w:type="character" w:styleId="Hyperlink">
    <w:name w:val="Hyperlink"/>
    <w:uiPriority w:val="99"/>
    <w:unhideWhenUsed/>
    <w:rsid w:val="00FA0FE6"/>
    <w:rPr>
      <w:color w:val="0000FF"/>
      <w:u w:val="single"/>
    </w:rPr>
  </w:style>
  <w:style w:type="paragraph" w:styleId="BalloonText">
    <w:name w:val="Balloon Text"/>
    <w:basedOn w:val="Normal"/>
    <w:link w:val="BalloonTextChar"/>
    <w:uiPriority w:val="99"/>
    <w:semiHidden/>
    <w:unhideWhenUsed/>
    <w:rsid w:val="007B551F"/>
    <w:rPr>
      <w:rFonts w:ascii="Tahoma" w:hAnsi="Tahoma" w:cs="Tahoma"/>
      <w:sz w:val="16"/>
      <w:szCs w:val="16"/>
    </w:rPr>
  </w:style>
  <w:style w:type="character" w:customStyle="1" w:styleId="BalloonTextChar">
    <w:name w:val="Balloon Text Char"/>
    <w:link w:val="BalloonText"/>
    <w:uiPriority w:val="99"/>
    <w:semiHidden/>
    <w:rsid w:val="007B551F"/>
    <w:rPr>
      <w:rFonts w:ascii="Tahoma" w:eastAsia="Times New Roman" w:hAnsi="Tahoma" w:cs="Tahoma"/>
      <w:sz w:val="16"/>
      <w:szCs w:val="16"/>
    </w:rPr>
  </w:style>
  <w:style w:type="paragraph" w:styleId="BodyText">
    <w:name w:val="Body Text"/>
    <w:basedOn w:val="Normal"/>
    <w:link w:val="BodyTextChar"/>
    <w:uiPriority w:val="99"/>
    <w:semiHidden/>
    <w:unhideWhenUsed/>
    <w:rsid w:val="005A7FA3"/>
    <w:pPr>
      <w:spacing w:after="120"/>
    </w:pPr>
  </w:style>
  <w:style w:type="character" w:customStyle="1" w:styleId="BodyTextChar">
    <w:name w:val="Body Text Char"/>
    <w:link w:val="BodyText"/>
    <w:uiPriority w:val="99"/>
    <w:semiHidden/>
    <w:rsid w:val="005A7FA3"/>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8B39C4"/>
    <w:rPr>
      <w:sz w:val="16"/>
      <w:szCs w:val="16"/>
    </w:rPr>
  </w:style>
  <w:style w:type="paragraph" w:styleId="CommentText">
    <w:name w:val="annotation text"/>
    <w:basedOn w:val="Normal"/>
    <w:link w:val="CommentTextChar"/>
    <w:uiPriority w:val="99"/>
    <w:semiHidden/>
    <w:unhideWhenUsed/>
    <w:rsid w:val="008B39C4"/>
    <w:rPr>
      <w:sz w:val="20"/>
      <w:szCs w:val="20"/>
    </w:rPr>
  </w:style>
  <w:style w:type="character" w:customStyle="1" w:styleId="CommentTextChar">
    <w:name w:val="Comment Text Char"/>
    <w:link w:val="CommentText"/>
    <w:uiPriority w:val="99"/>
    <w:semiHidden/>
    <w:rsid w:val="008B39C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B39C4"/>
    <w:rPr>
      <w:b/>
      <w:bCs/>
    </w:rPr>
  </w:style>
  <w:style w:type="character" w:customStyle="1" w:styleId="CommentSubjectChar">
    <w:name w:val="Comment Subject Char"/>
    <w:link w:val="CommentSubject"/>
    <w:uiPriority w:val="99"/>
    <w:semiHidden/>
    <w:rsid w:val="008B39C4"/>
    <w:rPr>
      <w:rFonts w:ascii="Times New Roman" w:eastAsia="Times New Roman" w:hAnsi="Times New Roman"/>
      <w:b/>
      <w:bCs/>
    </w:rPr>
  </w:style>
  <w:style w:type="character" w:customStyle="1" w:styleId="UnresolvedMention">
    <w:name w:val="Unresolved Mention"/>
    <w:uiPriority w:val="99"/>
    <w:semiHidden/>
    <w:unhideWhenUsed/>
    <w:rsid w:val="00BA14BB"/>
    <w:rPr>
      <w:color w:val="605E5C"/>
      <w:shd w:val="clear" w:color="auto" w:fill="E1DFDD"/>
    </w:rPr>
  </w:style>
  <w:style w:type="character" w:customStyle="1" w:styleId="Vnbnnidung2Inm">
    <w:name w:val="Văn bản nội dung (2) + In đậm"/>
    <w:uiPriority w:val="99"/>
    <w:rsid w:val="000B750C"/>
    <w:rPr>
      <w:rFonts w:ascii="Times New Roman" w:hAnsi="Times New Roman"/>
      <w:b/>
      <w:bCs/>
      <w:sz w:val="26"/>
      <w:szCs w:val="26"/>
      <w:shd w:val="clear" w:color="auto" w:fill="FFFFFF"/>
    </w:rPr>
  </w:style>
  <w:style w:type="character" w:customStyle="1" w:styleId="Vnbnnidung2">
    <w:name w:val="Văn bản nội dung (2)_"/>
    <w:link w:val="Vnbnnidung20"/>
    <w:uiPriority w:val="99"/>
    <w:rsid w:val="008D2FC0"/>
    <w:rPr>
      <w:sz w:val="28"/>
      <w:szCs w:val="28"/>
      <w:shd w:val="clear" w:color="auto" w:fill="FFFFFF"/>
    </w:rPr>
  </w:style>
  <w:style w:type="paragraph" w:customStyle="1" w:styleId="Vnbnnidung20">
    <w:name w:val="Văn bản nội dung (2)"/>
    <w:basedOn w:val="Normal"/>
    <w:link w:val="Vnbnnidung2"/>
    <w:uiPriority w:val="99"/>
    <w:rsid w:val="008D2FC0"/>
    <w:pPr>
      <w:widowControl w:val="0"/>
      <w:shd w:val="clear" w:color="auto" w:fill="FFFFFF"/>
      <w:spacing w:after="60" w:line="320" w:lineRule="exact"/>
      <w:jc w:val="both"/>
    </w:pPr>
    <w:rPr>
      <w:rFonts w:ascii="Calibri" w:eastAsia="Calibri" w:hAnsi="Calibri"/>
      <w:noProof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1098">
      <w:bodyDiv w:val="1"/>
      <w:marLeft w:val="0"/>
      <w:marRight w:val="0"/>
      <w:marTop w:val="0"/>
      <w:marBottom w:val="0"/>
      <w:divBdr>
        <w:top w:val="none" w:sz="0" w:space="0" w:color="auto"/>
        <w:left w:val="none" w:sz="0" w:space="0" w:color="auto"/>
        <w:bottom w:val="none" w:sz="0" w:space="0" w:color="auto"/>
        <w:right w:val="none" w:sz="0" w:space="0" w:color="auto"/>
      </w:divBdr>
    </w:div>
    <w:div w:id="105124353">
      <w:bodyDiv w:val="1"/>
      <w:marLeft w:val="0"/>
      <w:marRight w:val="0"/>
      <w:marTop w:val="0"/>
      <w:marBottom w:val="0"/>
      <w:divBdr>
        <w:top w:val="none" w:sz="0" w:space="0" w:color="auto"/>
        <w:left w:val="none" w:sz="0" w:space="0" w:color="auto"/>
        <w:bottom w:val="none" w:sz="0" w:space="0" w:color="auto"/>
        <w:right w:val="none" w:sz="0" w:space="0" w:color="auto"/>
      </w:divBdr>
    </w:div>
    <w:div w:id="144011077">
      <w:bodyDiv w:val="1"/>
      <w:marLeft w:val="0"/>
      <w:marRight w:val="0"/>
      <w:marTop w:val="0"/>
      <w:marBottom w:val="0"/>
      <w:divBdr>
        <w:top w:val="none" w:sz="0" w:space="0" w:color="auto"/>
        <w:left w:val="none" w:sz="0" w:space="0" w:color="auto"/>
        <w:bottom w:val="none" w:sz="0" w:space="0" w:color="auto"/>
        <w:right w:val="none" w:sz="0" w:space="0" w:color="auto"/>
      </w:divBdr>
    </w:div>
    <w:div w:id="297952340">
      <w:bodyDiv w:val="1"/>
      <w:marLeft w:val="0"/>
      <w:marRight w:val="0"/>
      <w:marTop w:val="0"/>
      <w:marBottom w:val="0"/>
      <w:divBdr>
        <w:top w:val="none" w:sz="0" w:space="0" w:color="auto"/>
        <w:left w:val="none" w:sz="0" w:space="0" w:color="auto"/>
        <w:bottom w:val="none" w:sz="0" w:space="0" w:color="auto"/>
        <w:right w:val="none" w:sz="0" w:space="0" w:color="auto"/>
      </w:divBdr>
    </w:div>
    <w:div w:id="373236946">
      <w:bodyDiv w:val="1"/>
      <w:marLeft w:val="0"/>
      <w:marRight w:val="0"/>
      <w:marTop w:val="0"/>
      <w:marBottom w:val="0"/>
      <w:divBdr>
        <w:top w:val="none" w:sz="0" w:space="0" w:color="auto"/>
        <w:left w:val="none" w:sz="0" w:space="0" w:color="auto"/>
        <w:bottom w:val="none" w:sz="0" w:space="0" w:color="auto"/>
        <w:right w:val="none" w:sz="0" w:space="0" w:color="auto"/>
      </w:divBdr>
    </w:div>
    <w:div w:id="380639333">
      <w:bodyDiv w:val="1"/>
      <w:marLeft w:val="0"/>
      <w:marRight w:val="0"/>
      <w:marTop w:val="0"/>
      <w:marBottom w:val="0"/>
      <w:divBdr>
        <w:top w:val="none" w:sz="0" w:space="0" w:color="auto"/>
        <w:left w:val="none" w:sz="0" w:space="0" w:color="auto"/>
        <w:bottom w:val="none" w:sz="0" w:space="0" w:color="auto"/>
        <w:right w:val="none" w:sz="0" w:space="0" w:color="auto"/>
      </w:divBdr>
    </w:div>
    <w:div w:id="506292366">
      <w:bodyDiv w:val="1"/>
      <w:marLeft w:val="0"/>
      <w:marRight w:val="0"/>
      <w:marTop w:val="0"/>
      <w:marBottom w:val="0"/>
      <w:divBdr>
        <w:top w:val="none" w:sz="0" w:space="0" w:color="auto"/>
        <w:left w:val="none" w:sz="0" w:space="0" w:color="auto"/>
        <w:bottom w:val="none" w:sz="0" w:space="0" w:color="auto"/>
        <w:right w:val="none" w:sz="0" w:space="0" w:color="auto"/>
      </w:divBdr>
    </w:div>
    <w:div w:id="512034647">
      <w:bodyDiv w:val="1"/>
      <w:marLeft w:val="0"/>
      <w:marRight w:val="0"/>
      <w:marTop w:val="0"/>
      <w:marBottom w:val="0"/>
      <w:divBdr>
        <w:top w:val="none" w:sz="0" w:space="0" w:color="auto"/>
        <w:left w:val="none" w:sz="0" w:space="0" w:color="auto"/>
        <w:bottom w:val="none" w:sz="0" w:space="0" w:color="auto"/>
        <w:right w:val="none" w:sz="0" w:space="0" w:color="auto"/>
      </w:divBdr>
    </w:div>
    <w:div w:id="518927705">
      <w:bodyDiv w:val="1"/>
      <w:marLeft w:val="0"/>
      <w:marRight w:val="0"/>
      <w:marTop w:val="0"/>
      <w:marBottom w:val="0"/>
      <w:divBdr>
        <w:top w:val="none" w:sz="0" w:space="0" w:color="auto"/>
        <w:left w:val="none" w:sz="0" w:space="0" w:color="auto"/>
        <w:bottom w:val="none" w:sz="0" w:space="0" w:color="auto"/>
        <w:right w:val="none" w:sz="0" w:space="0" w:color="auto"/>
      </w:divBdr>
    </w:div>
    <w:div w:id="589889980">
      <w:bodyDiv w:val="1"/>
      <w:marLeft w:val="0"/>
      <w:marRight w:val="0"/>
      <w:marTop w:val="0"/>
      <w:marBottom w:val="0"/>
      <w:divBdr>
        <w:top w:val="none" w:sz="0" w:space="0" w:color="auto"/>
        <w:left w:val="none" w:sz="0" w:space="0" w:color="auto"/>
        <w:bottom w:val="none" w:sz="0" w:space="0" w:color="auto"/>
        <w:right w:val="none" w:sz="0" w:space="0" w:color="auto"/>
      </w:divBdr>
    </w:div>
    <w:div w:id="675839102">
      <w:bodyDiv w:val="1"/>
      <w:marLeft w:val="0"/>
      <w:marRight w:val="0"/>
      <w:marTop w:val="0"/>
      <w:marBottom w:val="0"/>
      <w:divBdr>
        <w:top w:val="none" w:sz="0" w:space="0" w:color="auto"/>
        <w:left w:val="none" w:sz="0" w:space="0" w:color="auto"/>
        <w:bottom w:val="none" w:sz="0" w:space="0" w:color="auto"/>
        <w:right w:val="none" w:sz="0" w:space="0" w:color="auto"/>
      </w:divBdr>
    </w:div>
    <w:div w:id="678654282">
      <w:bodyDiv w:val="1"/>
      <w:marLeft w:val="0"/>
      <w:marRight w:val="0"/>
      <w:marTop w:val="0"/>
      <w:marBottom w:val="0"/>
      <w:divBdr>
        <w:top w:val="none" w:sz="0" w:space="0" w:color="auto"/>
        <w:left w:val="none" w:sz="0" w:space="0" w:color="auto"/>
        <w:bottom w:val="none" w:sz="0" w:space="0" w:color="auto"/>
        <w:right w:val="none" w:sz="0" w:space="0" w:color="auto"/>
      </w:divBdr>
    </w:div>
    <w:div w:id="722098592">
      <w:bodyDiv w:val="1"/>
      <w:marLeft w:val="0"/>
      <w:marRight w:val="0"/>
      <w:marTop w:val="0"/>
      <w:marBottom w:val="0"/>
      <w:divBdr>
        <w:top w:val="none" w:sz="0" w:space="0" w:color="auto"/>
        <w:left w:val="none" w:sz="0" w:space="0" w:color="auto"/>
        <w:bottom w:val="none" w:sz="0" w:space="0" w:color="auto"/>
        <w:right w:val="none" w:sz="0" w:space="0" w:color="auto"/>
      </w:divBdr>
    </w:div>
    <w:div w:id="746418458">
      <w:bodyDiv w:val="1"/>
      <w:marLeft w:val="0"/>
      <w:marRight w:val="0"/>
      <w:marTop w:val="0"/>
      <w:marBottom w:val="0"/>
      <w:divBdr>
        <w:top w:val="none" w:sz="0" w:space="0" w:color="auto"/>
        <w:left w:val="none" w:sz="0" w:space="0" w:color="auto"/>
        <w:bottom w:val="none" w:sz="0" w:space="0" w:color="auto"/>
        <w:right w:val="none" w:sz="0" w:space="0" w:color="auto"/>
      </w:divBdr>
    </w:div>
    <w:div w:id="746878857">
      <w:bodyDiv w:val="1"/>
      <w:marLeft w:val="0"/>
      <w:marRight w:val="0"/>
      <w:marTop w:val="0"/>
      <w:marBottom w:val="0"/>
      <w:divBdr>
        <w:top w:val="none" w:sz="0" w:space="0" w:color="auto"/>
        <w:left w:val="none" w:sz="0" w:space="0" w:color="auto"/>
        <w:bottom w:val="none" w:sz="0" w:space="0" w:color="auto"/>
        <w:right w:val="none" w:sz="0" w:space="0" w:color="auto"/>
      </w:divBdr>
    </w:div>
    <w:div w:id="765273962">
      <w:bodyDiv w:val="1"/>
      <w:marLeft w:val="0"/>
      <w:marRight w:val="0"/>
      <w:marTop w:val="0"/>
      <w:marBottom w:val="0"/>
      <w:divBdr>
        <w:top w:val="none" w:sz="0" w:space="0" w:color="auto"/>
        <w:left w:val="none" w:sz="0" w:space="0" w:color="auto"/>
        <w:bottom w:val="none" w:sz="0" w:space="0" w:color="auto"/>
        <w:right w:val="none" w:sz="0" w:space="0" w:color="auto"/>
      </w:divBdr>
    </w:div>
    <w:div w:id="955409880">
      <w:bodyDiv w:val="1"/>
      <w:marLeft w:val="0"/>
      <w:marRight w:val="0"/>
      <w:marTop w:val="0"/>
      <w:marBottom w:val="0"/>
      <w:divBdr>
        <w:top w:val="none" w:sz="0" w:space="0" w:color="auto"/>
        <w:left w:val="none" w:sz="0" w:space="0" w:color="auto"/>
        <w:bottom w:val="none" w:sz="0" w:space="0" w:color="auto"/>
        <w:right w:val="none" w:sz="0" w:space="0" w:color="auto"/>
      </w:divBdr>
    </w:div>
    <w:div w:id="1014920726">
      <w:bodyDiv w:val="1"/>
      <w:marLeft w:val="0"/>
      <w:marRight w:val="0"/>
      <w:marTop w:val="0"/>
      <w:marBottom w:val="0"/>
      <w:divBdr>
        <w:top w:val="none" w:sz="0" w:space="0" w:color="auto"/>
        <w:left w:val="none" w:sz="0" w:space="0" w:color="auto"/>
        <w:bottom w:val="none" w:sz="0" w:space="0" w:color="auto"/>
        <w:right w:val="none" w:sz="0" w:space="0" w:color="auto"/>
      </w:divBdr>
    </w:div>
    <w:div w:id="1041320999">
      <w:bodyDiv w:val="1"/>
      <w:marLeft w:val="0"/>
      <w:marRight w:val="0"/>
      <w:marTop w:val="0"/>
      <w:marBottom w:val="0"/>
      <w:divBdr>
        <w:top w:val="none" w:sz="0" w:space="0" w:color="auto"/>
        <w:left w:val="none" w:sz="0" w:space="0" w:color="auto"/>
        <w:bottom w:val="none" w:sz="0" w:space="0" w:color="auto"/>
        <w:right w:val="none" w:sz="0" w:space="0" w:color="auto"/>
      </w:divBdr>
    </w:div>
    <w:div w:id="1098519843">
      <w:bodyDiv w:val="1"/>
      <w:marLeft w:val="0"/>
      <w:marRight w:val="0"/>
      <w:marTop w:val="0"/>
      <w:marBottom w:val="0"/>
      <w:divBdr>
        <w:top w:val="none" w:sz="0" w:space="0" w:color="auto"/>
        <w:left w:val="none" w:sz="0" w:space="0" w:color="auto"/>
        <w:bottom w:val="none" w:sz="0" w:space="0" w:color="auto"/>
        <w:right w:val="none" w:sz="0" w:space="0" w:color="auto"/>
      </w:divBdr>
    </w:div>
    <w:div w:id="1112819033">
      <w:bodyDiv w:val="1"/>
      <w:marLeft w:val="0"/>
      <w:marRight w:val="0"/>
      <w:marTop w:val="0"/>
      <w:marBottom w:val="0"/>
      <w:divBdr>
        <w:top w:val="none" w:sz="0" w:space="0" w:color="auto"/>
        <w:left w:val="none" w:sz="0" w:space="0" w:color="auto"/>
        <w:bottom w:val="none" w:sz="0" w:space="0" w:color="auto"/>
        <w:right w:val="none" w:sz="0" w:space="0" w:color="auto"/>
      </w:divBdr>
    </w:div>
    <w:div w:id="1162085362">
      <w:bodyDiv w:val="1"/>
      <w:marLeft w:val="0"/>
      <w:marRight w:val="0"/>
      <w:marTop w:val="0"/>
      <w:marBottom w:val="0"/>
      <w:divBdr>
        <w:top w:val="none" w:sz="0" w:space="0" w:color="auto"/>
        <w:left w:val="none" w:sz="0" w:space="0" w:color="auto"/>
        <w:bottom w:val="none" w:sz="0" w:space="0" w:color="auto"/>
        <w:right w:val="none" w:sz="0" w:space="0" w:color="auto"/>
      </w:divBdr>
    </w:div>
    <w:div w:id="1190409461">
      <w:bodyDiv w:val="1"/>
      <w:marLeft w:val="0"/>
      <w:marRight w:val="0"/>
      <w:marTop w:val="0"/>
      <w:marBottom w:val="0"/>
      <w:divBdr>
        <w:top w:val="none" w:sz="0" w:space="0" w:color="auto"/>
        <w:left w:val="none" w:sz="0" w:space="0" w:color="auto"/>
        <w:bottom w:val="none" w:sz="0" w:space="0" w:color="auto"/>
        <w:right w:val="none" w:sz="0" w:space="0" w:color="auto"/>
      </w:divBdr>
    </w:div>
    <w:div w:id="1308819545">
      <w:bodyDiv w:val="1"/>
      <w:marLeft w:val="0"/>
      <w:marRight w:val="0"/>
      <w:marTop w:val="0"/>
      <w:marBottom w:val="0"/>
      <w:divBdr>
        <w:top w:val="none" w:sz="0" w:space="0" w:color="auto"/>
        <w:left w:val="none" w:sz="0" w:space="0" w:color="auto"/>
        <w:bottom w:val="none" w:sz="0" w:space="0" w:color="auto"/>
        <w:right w:val="none" w:sz="0" w:space="0" w:color="auto"/>
      </w:divBdr>
    </w:div>
    <w:div w:id="1457600978">
      <w:bodyDiv w:val="1"/>
      <w:marLeft w:val="0"/>
      <w:marRight w:val="0"/>
      <w:marTop w:val="0"/>
      <w:marBottom w:val="0"/>
      <w:divBdr>
        <w:top w:val="none" w:sz="0" w:space="0" w:color="auto"/>
        <w:left w:val="none" w:sz="0" w:space="0" w:color="auto"/>
        <w:bottom w:val="none" w:sz="0" w:space="0" w:color="auto"/>
        <w:right w:val="none" w:sz="0" w:space="0" w:color="auto"/>
      </w:divBdr>
    </w:div>
    <w:div w:id="1532110058">
      <w:bodyDiv w:val="1"/>
      <w:marLeft w:val="0"/>
      <w:marRight w:val="0"/>
      <w:marTop w:val="0"/>
      <w:marBottom w:val="0"/>
      <w:divBdr>
        <w:top w:val="none" w:sz="0" w:space="0" w:color="auto"/>
        <w:left w:val="none" w:sz="0" w:space="0" w:color="auto"/>
        <w:bottom w:val="none" w:sz="0" w:space="0" w:color="auto"/>
        <w:right w:val="none" w:sz="0" w:space="0" w:color="auto"/>
      </w:divBdr>
    </w:div>
    <w:div w:id="1641885729">
      <w:bodyDiv w:val="1"/>
      <w:marLeft w:val="0"/>
      <w:marRight w:val="0"/>
      <w:marTop w:val="0"/>
      <w:marBottom w:val="0"/>
      <w:divBdr>
        <w:top w:val="none" w:sz="0" w:space="0" w:color="auto"/>
        <w:left w:val="none" w:sz="0" w:space="0" w:color="auto"/>
        <w:bottom w:val="none" w:sz="0" w:space="0" w:color="auto"/>
        <w:right w:val="none" w:sz="0" w:space="0" w:color="auto"/>
      </w:divBdr>
    </w:div>
    <w:div w:id="1969583030">
      <w:bodyDiv w:val="1"/>
      <w:marLeft w:val="0"/>
      <w:marRight w:val="0"/>
      <w:marTop w:val="0"/>
      <w:marBottom w:val="0"/>
      <w:divBdr>
        <w:top w:val="none" w:sz="0" w:space="0" w:color="auto"/>
        <w:left w:val="none" w:sz="0" w:space="0" w:color="auto"/>
        <w:bottom w:val="none" w:sz="0" w:space="0" w:color="auto"/>
        <w:right w:val="none" w:sz="0" w:space="0" w:color="auto"/>
      </w:divBdr>
    </w:div>
    <w:div w:id="1982080915">
      <w:bodyDiv w:val="1"/>
      <w:marLeft w:val="0"/>
      <w:marRight w:val="0"/>
      <w:marTop w:val="0"/>
      <w:marBottom w:val="0"/>
      <w:divBdr>
        <w:top w:val="none" w:sz="0" w:space="0" w:color="auto"/>
        <w:left w:val="none" w:sz="0" w:space="0" w:color="auto"/>
        <w:bottom w:val="none" w:sz="0" w:space="0" w:color="auto"/>
        <w:right w:val="none" w:sz="0" w:space="0" w:color="auto"/>
      </w:divBdr>
    </w:div>
    <w:div w:id="2002468210">
      <w:bodyDiv w:val="1"/>
      <w:marLeft w:val="0"/>
      <w:marRight w:val="0"/>
      <w:marTop w:val="0"/>
      <w:marBottom w:val="0"/>
      <w:divBdr>
        <w:top w:val="none" w:sz="0" w:space="0" w:color="auto"/>
        <w:left w:val="none" w:sz="0" w:space="0" w:color="auto"/>
        <w:bottom w:val="none" w:sz="0" w:space="0" w:color="auto"/>
        <w:right w:val="none" w:sz="0" w:space="0" w:color="auto"/>
      </w:divBdr>
    </w:div>
    <w:div w:id="2005012669">
      <w:bodyDiv w:val="1"/>
      <w:marLeft w:val="0"/>
      <w:marRight w:val="0"/>
      <w:marTop w:val="0"/>
      <w:marBottom w:val="0"/>
      <w:divBdr>
        <w:top w:val="none" w:sz="0" w:space="0" w:color="auto"/>
        <w:left w:val="none" w:sz="0" w:space="0" w:color="auto"/>
        <w:bottom w:val="none" w:sz="0" w:space="0" w:color="auto"/>
        <w:right w:val="none" w:sz="0" w:space="0" w:color="auto"/>
      </w:divBdr>
    </w:div>
    <w:div w:id="210090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9</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cp:lastModifiedBy>Truc Cuong</cp:lastModifiedBy>
  <cp:revision>57</cp:revision>
  <cp:lastPrinted>2025-08-03T23:59:00Z</cp:lastPrinted>
  <dcterms:created xsi:type="dcterms:W3CDTF">2025-11-17T08:22:00Z</dcterms:created>
  <dcterms:modified xsi:type="dcterms:W3CDTF">2026-07-10T09:01:00Z</dcterms:modified>
</cp:coreProperties>
</file>