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417" w:type="dxa"/>
        <w:tblCellMar>
          <w:left w:w="0" w:type="dxa"/>
          <w:right w:w="0" w:type="dxa"/>
        </w:tblCellMar>
        <w:tblLook w:val="0000" w:firstRow="0" w:lastRow="0" w:firstColumn="0" w:lastColumn="0" w:noHBand="0" w:noVBand="0"/>
      </w:tblPr>
      <w:tblGrid>
        <w:gridCol w:w="6204"/>
        <w:gridCol w:w="9213"/>
      </w:tblGrid>
      <w:tr w:rsidR="00D13A88" w:rsidRPr="00D13A88" w14:paraId="445D7384" w14:textId="77777777" w:rsidTr="00A43C2F">
        <w:tc>
          <w:tcPr>
            <w:tcW w:w="6204" w:type="dxa"/>
            <w:tcMar>
              <w:top w:w="0" w:type="dxa"/>
              <w:left w:w="108" w:type="dxa"/>
              <w:bottom w:w="0" w:type="dxa"/>
              <w:right w:w="108" w:type="dxa"/>
            </w:tcMar>
          </w:tcPr>
          <w:p w14:paraId="089A84A8" w14:textId="77777777" w:rsidR="002531DC" w:rsidRPr="00D13A88" w:rsidRDefault="002531DC" w:rsidP="00096EE5">
            <w:pPr>
              <w:jc w:val="center"/>
              <w:rPr>
                <w:rFonts w:ascii="Times New Roman" w:hAnsi="Times New Roman"/>
                <w:bCs/>
                <w:color w:val="000000" w:themeColor="text1"/>
                <w:sz w:val="26"/>
                <w:szCs w:val="26"/>
              </w:rPr>
            </w:pPr>
            <w:r w:rsidRPr="00D13A88">
              <w:rPr>
                <w:rFonts w:ascii="Times New Roman" w:hAnsi="Times New Roman"/>
                <w:bCs/>
                <w:color w:val="000000" w:themeColor="text1"/>
                <w:sz w:val="26"/>
                <w:szCs w:val="26"/>
              </w:rPr>
              <w:t>ỦY BAN NHÂN DÂN</w:t>
            </w:r>
          </w:p>
          <w:p w14:paraId="2ADFE332" w14:textId="0217892A" w:rsidR="002531DC" w:rsidRPr="00D13A88" w:rsidRDefault="002531DC" w:rsidP="00096EE5">
            <w:pPr>
              <w:jc w:val="center"/>
              <w:rPr>
                <w:rFonts w:ascii="Times New Roman" w:hAnsi="Times New Roman"/>
                <w:b/>
                <w:bCs/>
                <w:color w:val="000000" w:themeColor="text1"/>
                <w:sz w:val="26"/>
                <w:szCs w:val="26"/>
              </w:rPr>
            </w:pPr>
            <w:r w:rsidRPr="00D13A88">
              <w:rPr>
                <w:rFonts w:ascii="Times New Roman" w:hAnsi="Times New Roman"/>
                <w:bCs/>
                <w:noProof/>
                <w:color w:val="000000" w:themeColor="text1"/>
                <w:sz w:val="26"/>
                <w:szCs w:val="26"/>
              </w:rPr>
              <mc:AlternateContent>
                <mc:Choice Requires="wps">
                  <w:drawing>
                    <wp:anchor distT="0" distB="0" distL="114300" distR="114300" simplePos="0" relativeHeight="251659264" behindDoc="0" locked="0" layoutInCell="1" allowOverlap="1" wp14:anchorId="66B54F2B" wp14:editId="641DFE0D">
                      <wp:simplePos x="0" y="0"/>
                      <wp:positionH relativeFrom="column">
                        <wp:posOffset>1442720</wp:posOffset>
                      </wp:positionH>
                      <wp:positionV relativeFrom="paragraph">
                        <wp:posOffset>442757</wp:posOffset>
                      </wp:positionV>
                      <wp:extent cx="800100" cy="0"/>
                      <wp:effectExtent l="0" t="0" r="1905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735AEFD8" id="Straight Connector 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3.6pt,34.85pt" to="176.6pt,34.85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f5K32rQEAAEcDAAAOAAAAZHJzL2Uyb0RvYy54bWysUsFu2zAMvQ/YPwi6L3YCdOiMOD2k7S7d FqDdBzCSbAuTRYFUYufvJ6lJWmy3YToIkkg+vffI9d08OnE0xBZ9K5eLWgrjFWrr+1b+fHn8dCsF R/AaHHrTypNhebf5+GE9hcascECnDYkE4rmZQiuHGENTVawGMwIvMBifgh3SCDFdqa80wZTQR1et 6vpzNSHpQKgMc3q9fw3KTcHvOqPij65jE4VrZeIWy05l3+e92qyh6QnCYNWZBvwDixGsT59eoe4h gjiQ/QtqtIqQsYsLhWOFXWeVKRqSmmX9h5rnAYIpWpI5HK428f+DVd+PW7+jTF3N/jk8ofrFwuN2 AN+bQuDlFFLjltmqagrcXEvyhcOOxH76hjrlwCFicWHuaMyQSZ+Yi9mnq9lmjkKlx9s6CU4tUZdQ Bc2lLhDHrwZHkQ+tdNZnG6CB4xPHzAOaS0p+9vhonSutdF5Mrfxys7opBYzO6hzMaUz9futIHCEP Q1lFVIq8TyM8eF3ABgP64XyOYN3rOX3u/NmLLD/PGjd71KcdXTxK3Sosz5OVx+H9vVS/zf/mNwAA AP//AwBQSwMEFAAGAAgAAAAhAOvoN/fdAAAACQEAAA8AAABkcnMvZG93bnJldi54bWxMj8FOwzAM hu9IvENkJC4TS2nFBqXphIDeuGyAuHqNaSsap2uyrfD0GHGAo39/+v25WE2uVwcaQ+fZwOU8AUVc e9txY+Dlubq4BhUissXeMxn4pACr8vSkwNz6I6/psImNkhIOORpoYxxyrUPdksMw9wOx7N796DDK ODbajniUctfrNEkW2mHHcqHFge5bqj82e2cgVK+0q75m9Sx5yxpP6e7h6RGNOT+b7m5BRZriHww/ +qIOpTht/Z5tUL2BNF2mghpY3CxBCZBdZRJsfwNdFvr/B+U3AAAA//8DAFBLAQItABQABgAIAAAA IQC2gziS/gAAAOEBAAATAAAAAAAAAAAAAAAAAAAAAABbQ29udGVudF9UeXBlc10ueG1sUEsBAi0A FAAGAAgAAAAhADj9If/WAAAAlAEAAAsAAAAAAAAAAAAAAAAALwEAAF9yZWxzLy5yZWxzUEsBAi0A FAAGAAgAAAAhAN/krfatAQAARwMAAA4AAAAAAAAAAAAAAAAALgIAAGRycy9lMm9Eb2MueG1sUEsB Ai0AFAAGAAgAAAAhAOvoN/fdAAAACQEAAA8AAAAAAAAAAAAAAAAABwQAAGRycy9kb3ducmV2Lnht bFBLBQYAAAAABAAEAPMAAAARBQAAAAA= "/>
                  </w:pict>
                </mc:Fallback>
              </mc:AlternateContent>
            </w:r>
            <w:r w:rsidRPr="00D13A88">
              <w:rPr>
                <w:rFonts w:ascii="Times New Roman" w:hAnsi="Times New Roman"/>
                <w:bCs/>
                <w:color w:val="000000" w:themeColor="text1"/>
                <w:sz w:val="26"/>
                <w:szCs w:val="26"/>
              </w:rPr>
              <w:t xml:space="preserve"> THÀNH PHỐ HỒ CHÍ MINH</w:t>
            </w:r>
            <w:r w:rsidRPr="00D13A88">
              <w:rPr>
                <w:rFonts w:ascii="Times New Roman" w:hAnsi="Times New Roman"/>
                <w:b/>
                <w:bCs/>
                <w:color w:val="000000" w:themeColor="text1"/>
                <w:sz w:val="26"/>
                <w:szCs w:val="26"/>
              </w:rPr>
              <w:br/>
              <w:t>SỞ KHOA HỌC VÀ CÔNG NGHỆ</w:t>
            </w:r>
            <w:r w:rsidRPr="00D13A88">
              <w:rPr>
                <w:rFonts w:ascii="Times New Roman" w:hAnsi="Times New Roman"/>
                <w:b/>
                <w:bCs/>
                <w:color w:val="000000" w:themeColor="text1"/>
                <w:sz w:val="26"/>
                <w:szCs w:val="26"/>
              </w:rPr>
              <w:br/>
            </w:r>
          </w:p>
        </w:tc>
        <w:tc>
          <w:tcPr>
            <w:tcW w:w="9213" w:type="dxa"/>
            <w:tcMar>
              <w:top w:w="0" w:type="dxa"/>
              <w:left w:w="108" w:type="dxa"/>
              <w:bottom w:w="0" w:type="dxa"/>
              <w:right w:w="108" w:type="dxa"/>
            </w:tcMar>
          </w:tcPr>
          <w:p w14:paraId="6A1BB78C" w14:textId="77777777" w:rsidR="002531DC" w:rsidRPr="00D13A88" w:rsidRDefault="002531DC" w:rsidP="00096EE5">
            <w:pPr>
              <w:spacing w:before="120"/>
              <w:jc w:val="center"/>
              <w:rPr>
                <w:rFonts w:ascii="Times New Roman" w:hAnsi="Times New Roman"/>
                <w:color w:val="000000" w:themeColor="text1"/>
                <w:sz w:val="24"/>
                <w:szCs w:val="28"/>
              </w:rPr>
            </w:pPr>
            <w:r w:rsidRPr="00D13A88">
              <w:rPr>
                <w:rFonts w:ascii="Times New Roman" w:hAnsi="Times New Roman"/>
                <w:b/>
                <w:bCs/>
                <w:noProof/>
                <w:color w:val="000000" w:themeColor="text1"/>
                <w:sz w:val="26"/>
                <w:szCs w:val="28"/>
              </w:rPr>
              <mc:AlternateContent>
                <mc:Choice Requires="wps">
                  <w:drawing>
                    <wp:anchor distT="0" distB="0" distL="114300" distR="114300" simplePos="0" relativeHeight="251660288" behindDoc="0" locked="0" layoutInCell="1" allowOverlap="1" wp14:anchorId="444908FB" wp14:editId="2575D2E6">
                      <wp:simplePos x="0" y="0"/>
                      <wp:positionH relativeFrom="column">
                        <wp:posOffset>1736090</wp:posOffset>
                      </wp:positionH>
                      <wp:positionV relativeFrom="paragraph">
                        <wp:posOffset>499110</wp:posOffset>
                      </wp:positionV>
                      <wp:extent cx="224155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41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6cei="http://schemas.microsoft.com/office/word/2026/wordml/cei"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67C71E09" id="Straight Connector 1"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7pt,39.3pt" to="313.2pt,39.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hmUC8rwEAAEgDAAAOAAAAZHJzL2Uyb0RvYy54bWysU8GO0zAQvSPxD5bvNG1EEURN99BluSxQ aZcPmNpOYuF4rBm3Sf8e29uWFdwQOVi2Z+b5vTeTzd08OnEyxBZ9K1eLpRTGK9TW96388fzw7qMU HMFrcOhNK8+G5d327ZvNFBpT44BOGxIJxHMzhVYOMYamqlgNZgReYDA+BTukEWI6Ul9pgimhj66q l8sP1YSkA6EyzOn2/iUotwW/64yK37uOTRSulYlbLCuV9ZDXaruBpicIg1UXGvAPLEawPj16g7qH COJI9i+o0SpCxi4uFI4Vdp1VpmhIalbLP9Q8DRBM0ZLM4XCzif8frPp22vk9Zepq9k/hEdVPFh53 A/jeFALP55Aat8pWVVPg5laSDxz2JA7TV9QpB44RiwtzR2OGTPrEXMw+38w2cxQqXdb1+9V6nXqi rrEKmmthII5fDI4ib1rprM8+QAOnR46ZCDTXlHzt8cE6V3rpvJha+Wldr0sBo7M6B3MaU3/YORIn yNNQvqIqRV6nER69LmCDAf35so9g3cs+Pe78xYysPw8bNwfU5z1dTUrtKiwvo5Xn4fW5VP/+Aba/ AAAA//8DAFBLAwQUAAYACAAAACEAGRV7gt0AAAAJAQAADwAAAGRycy9kb3ducmV2LnhtbEyPwU7D MAyG70i8Q2QkLhNL6VA3laYTAnrjwgBx9RrTVjRO12Rb4ekx2gGO/v3p9+diPbleHWgMnWcD1/ME FHHtbceNgdeX6moFKkRki71nMvBFAdbl+VmBufVHfqbDJjZKSjjkaKCNcci1DnVLDsPcD8Sy+/Cj wyjj2Gg74lHKXa/TJMm0w47lQosD3bdUf272zkCo3mhXfc/qWfK+aDylu4enRzTm8mK6uwUVaYp/ MPzqizqU4rT1e7ZB9QbS5eJGUAPLVQZKgCzNJNieAl0W+v8H5Q8AAAD//wMAUEsBAi0AFAAGAAgA AAAhALaDOJL+AAAA4QEAABMAAAAAAAAAAAAAAAAAAAAAAFtDb250ZW50X1R5cGVzXS54bWxQSwEC LQAUAAYACAAAACEAOP0h/9YAAACUAQAACwAAAAAAAAAAAAAAAAAvAQAAX3JlbHMvLnJlbHNQSwEC LQAUAAYACAAAACEAYZlAvK8BAABIAwAADgAAAAAAAAAAAAAAAAAuAgAAZHJzL2Uyb0RvYy54bWxQ SwECLQAUAAYACAAAACEAGRV7gt0AAAAJAQAADwAAAAAAAAAAAAAAAAAJBAAAZHJzL2Rvd25yZXYu eG1sUEsFBgAAAAAEAAQA8wAAABMFAAAAAA== "/>
                  </w:pict>
                </mc:Fallback>
              </mc:AlternateContent>
            </w:r>
            <w:r w:rsidRPr="00D13A88">
              <w:rPr>
                <w:rFonts w:ascii="Times New Roman" w:hAnsi="Times New Roman"/>
                <w:b/>
                <w:bCs/>
                <w:color w:val="000000" w:themeColor="text1"/>
                <w:sz w:val="26"/>
                <w:szCs w:val="28"/>
              </w:rPr>
              <w:t xml:space="preserve">CỘNG HÒA XÃ HỘI CHỦ NGHĨA VIỆT </w:t>
            </w:r>
            <w:smartTag w:uri="urn:schemas-microsoft-com:office:smarttags" w:element="place">
              <w:smartTag w:uri="urn:schemas-microsoft-com:office:smarttags" w:element="country-region">
                <w:r w:rsidRPr="00D13A88">
                  <w:rPr>
                    <w:rFonts w:ascii="Times New Roman" w:hAnsi="Times New Roman"/>
                    <w:b/>
                    <w:bCs/>
                    <w:color w:val="000000" w:themeColor="text1"/>
                    <w:sz w:val="26"/>
                    <w:szCs w:val="28"/>
                  </w:rPr>
                  <w:t>NAM</w:t>
                </w:r>
              </w:smartTag>
            </w:smartTag>
            <w:r w:rsidRPr="00D13A88">
              <w:rPr>
                <w:rFonts w:ascii="Times New Roman" w:hAnsi="Times New Roman"/>
                <w:b/>
                <w:bCs/>
                <w:color w:val="000000" w:themeColor="text1"/>
                <w:sz w:val="24"/>
                <w:szCs w:val="28"/>
              </w:rPr>
              <w:br/>
            </w:r>
            <w:r w:rsidRPr="00D13A88">
              <w:rPr>
                <w:rFonts w:ascii="Times New Roman" w:hAnsi="Times New Roman"/>
                <w:b/>
                <w:bCs/>
                <w:color w:val="000000" w:themeColor="text1"/>
                <w:sz w:val="28"/>
                <w:szCs w:val="28"/>
              </w:rPr>
              <w:t>Độc lập – Tự do – Hạnh phúc</w:t>
            </w:r>
            <w:r w:rsidRPr="00D13A88">
              <w:rPr>
                <w:rFonts w:ascii="Times New Roman" w:hAnsi="Times New Roman"/>
                <w:b/>
                <w:bCs/>
                <w:color w:val="000000" w:themeColor="text1"/>
                <w:sz w:val="26"/>
                <w:szCs w:val="28"/>
              </w:rPr>
              <w:br/>
            </w:r>
          </w:p>
        </w:tc>
      </w:tr>
      <w:tr w:rsidR="00B163FF" w:rsidRPr="00D13A88" w14:paraId="4F4A6305" w14:textId="77777777" w:rsidTr="00A43C2F">
        <w:tc>
          <w:tcPr>
            <w:tcW w:w="6204" w:type="dxa"/>
            <w:tcMar>
              <w:top w:w="0" w:type="dxa"/>
              <w:left w:w="108" w:type="dxa"/>
              <w:bottom w:w="0" w:type="dxa"/>
              <w:right w:w="108" w:type="dxa"/>
            </w:tcMar>
          </w:tcPr>
          <w:p w14:paraId="502559E1" w14:textId="28282869" w:rsidR="00B163FF" w:rsidRPr="00D13A88" w:rsidRDefault="00B163FF" w:rsidP="00096EE5">
            <w:pPr>
              <w:jc w:val="center"/>
              <w:rPr>
                <w:rFonts w:ascii="Times New Roman" w:hAnsi="Times New Roman"/>
                <w:bCs/>
                <w:color w:val="000000" w:themeColor="text1"/>
                <w:sz w:val="26"/>
                <w:szCs w:val="26"/>
              </w:rPr>
            </w:pPr>
          </w:p>
        </w:tc>
        <w:tc>
          <w:tcPr>
            <w:tcW w:w="9213" w:type="dxa"/>
            <w:tcMar>
              <w:top w:w="0" w:type="dxa"/>
              <w:left w:w="108" w:type="dxa"/>
              <w:bottom w:w="0" w:type="dxa"/>
              <w:right w:w="108" w:type="dxa"/>
            </w:tcMar>
          </w:tcPr>
          <w:p w14:paraId="43F5FF27" w14:textId="77777777" w:rsidR="00B163FF" w:rsidRPr="00D13A88" w:rsidRDefault="00B163FF" w:rsidP="002172F2">
            <w:pPr>
              <w:spacing w:before="120"/>
              <w:jc w:val="center"/>
              <w:rPr>
                <w:rFonts w:ascii="Times New Roman" w:hAnsi="Times New Roman"/>
                <w:bCs/>
                <w:i/>
                <w:noProof/>
                <w:color w:val="000000" w:themeColor="text1"/>
                <w:sz w:val="26"/>
                <w:szCs w:val="28"/>
              </w:rPr>
            </w:pPr>
            <w:r w:rsidRPr="00D13A88">
              <w:rPr>
                <w:rFonts w:ascii="Times New Roman" w:hAnsi="Times New Roman"/>
                <w:bCs/>
                <w:i/>
                <w:noProof/>
                <w:color w:val="000000" w:themeColor="text1"/>
                <w:sz w:val="26"/>
                <w:szCs w:val="28"/>
              </w:rPr>
              <w:t>Thành phố Hồ Chí Minh, ngày …… tháng …… năm 2026</w:t>
            </w:r>
          </w:p>
        </w:tc>
      </w:tr>
    </w:tbl>
    <w:p w14:paraId="73C58736" w14:textId="4F21422D" w:rsidR="0069601C" w:rsidRPr="00D13A88" w:rsidRDefault="0069601C" w:rsidP="00D85118">
      <w:pPr>
        <w:spacing w:line="264" w:lineRule="auto"/>
        <w:jc w:val="center"/>
        <w:rPr>
          <w:rFonts w:ascii="Times New Roman" w:hAnsi="Times New Roman"/>
          <w:b/>
          <w:color w:val="000000" w:themeColor="text1"/>
          <w:sz w:val="28"/>
          <w:szCs w:val="28"/>
        </w:rPr>
      </w:pPr>
    </w:p>
    <w:p w14:paraId="7BE11EFF" w14:textId="5A92B2D6" w:rsidR="00460326" w:rsidRPr="00D13A88" w:rsidRDefault="00B163FF" w:rsidP="00911A11">
      <w:pPr>
        <w:spacing w:line="264" w:lineRule="auto"/>
        <w:ind w:left="720" w:right="405"/>
        <w:jc w:val="center"/>
        <w:rPr>
          <w:rFonts w:ascii="Times New Roman" w:hAnsi="Times New Roman"/>
          <w:b/>
          <w:iCs/>
          <w:color w:val="000000" w:themeColor="text1"/>
          <w:sz w:val="28"/>
          <w:szCs w:val="28"/>
        </w:rPr>
      </w:pPr>
      <w:r w:rsidRPr="00D13A88">
        <w:rPr>
          <w:rFonts w:ascii="Times New Roman" w:hAnsi="Times New Roman"/>
          <w:b/>
          <w:color w:val="000000" w:themeColor="text1"/>
          <w:sz w:val="28"/>
          <w:szCs w:val="28"/>
        </w:rPr>
        <w:t xml:space="preserve">BẢN TỔNG HỢP Ý KIẾN, TIẾP THU, GIẢI TRÌNH Ý KIẾN GÓP Ý, PHẢN BIỆN XÃ HỘI ĐỐI VỚI DỰ THẢO NGHỊ QUYẾT CỦA HỘI ĐỒNG NHÂN DÂN THÀNH PHỐ </w:t>
      </w:r>
      <w:bookmarkStart w:id="0" w:name="loai_1_name"/>
      <w:r w:rsidRPr="00D13A88">
        <w:rPr>
          <w:rFonts w:ascii="Times New Roman" w:hAnsi="Times New Roman"/>
          <w:b/>
          <w:color w:val="000000" w:themeColor="text1"/>
          <w:sz w:val="28"/>
          <w:szCs w:val="28"/>
        </w:rPr>
        <w:t xml:space="preserve">QUY ĐỊNH </w:t>
      </w:r>
      <w:bookmarkEnd w:id="0"/>
      <w:r w:rsidRPr="00D13A88">
        <w:rPr>
          <w:rFonts w:ascii="Times New Roman" w:hAnsi="Times New Roman"/>
          <w:b/>
          <w:color w:val="000000" w:themeColor="text1"/>
          <w:sz w:val="28"/>
          <w:szCs w:val="28"/>
        </w:rPr>
        <w:t xml:space="preserve">MỘT SỐ CƠ CHẾ, CHÍNH SÁCH ƯU ĐÃI, HỖ TRỢ PHÁT TRIỂN HẠ TẦNG, HỆ THỐNG ĐỔI MỚI SÁNG TẠO, CÁC TỔ CHỨC CÓ HOẠT ĐỘNG TRONG LĨNH VỰC KHOA HỌC, CÔNG NGHỆ, ĐỔI MỚI SÁNG TẠO VÀ CHUYỂN ĐỔI SỐ </w:t>
      </w:r>
      <w:r w:rsidRPr="00D13A88">
        <w:rPr>
          <w:rFonts w:ascii="Times New Roman" w:hAnsi="Times New Roman"/>
          <w:b/>
          <w:iCs/>
          <w:color w:val="000000" w:themeColor="text1"/>
          <w:sz w:val="28"/>
          <w:szCs w:val="28"/>
        </w:rPr>
        <w:t>TRÊN ĐỊA BÀN THÀNH PHỐ HỒ CHÍ MINH</w:t>
      </w:r>
    </w:p>
    <w:p w14:paraId="6CF4D568" w14:textId="58042290" w:rsidR="002531DC" w:rsidRPr="00D13A88" w:rsidRDefault="002531DC" w:rsidP="002531DC">
      <w:pPr>
        <w:spacing w:before="120" w:after="120" w:line="264" w:lineRule="auto"/>
        <w:jc w:val="center"/>
        <w:rPr>
          <w:rFonts w:ascii="Times New Roman" w:hAnsi="Times New Roman"/>
          <w:i/>
          <w:color w:val="000000" w:themeColor="text1"/>
          <w:sz w:val="26"/>
          <w:szCs w:val="28"/>
        </w:rPr>
      </w:pPr>
      <w:r w:rsidRPr="00D13A88">
        <w:rPr>
          <w:rFonts w:ascii="Times New Roman" w:hAnsi="Times New Roman"/>
          <w:i/>
          <w:color w:val="000000" w:themeColor="text1"/>
          <w:sz w:val="26"/>
          <w:szCs w:val="28"/>
        </w:rPr>
        <w:t>(Đính kèm Tờ trình số ……………/TTr-SKHCN ngày ……… tháng ……… năm 2026 của Sở Khoa học và Công nghệ)</w:t>
      </w:r>
    </w:p>
    <w:p w14:paraId="1CB344E5" w14:textId="31AEE23A" w:rsidR="00187562" w:rsidRPr="00D13A88" w:rsidRDefault="00911A11" w:rsidP="00187562">
      <w:pPr>
        <w:spacing w:before="120" w:after="120"/>
        <w:ind w:firstLine="567"/>
        <w:jc w:val="both"/>
        <w:rPr>
          <w:rFonts w:ascii="Times New Roman" w:hAnsi="Times New Roman"/>
          <w:color w:val="000000" w:themeColor="text1"/>
          <w:spacing w:val="-2"/>
          <w:sz w:val="28"/>
          <w:szCs w:val="28"/>
        </w:rPr>
      </w:pPr>
      <w:r w:rsidRPr="00D13A88">
        <w:rPr>
          <w:rFonts w:ascii="Times New Roman" w:hAnsi="Times New Roman"/>
          <w:bCs/>
          <w:noProof/>
          <w:color w:val="000000" w:themeColor="text1"/>
          <w:sz w:val="26"/>
          <w:szCs w:val="26"/>
        </w:rPr>
        <mc:AlternateContent>
          <mc:Choice Requires="wps">
            <w:drawing>
              <wp:anchor distT="0" distB="0" distL="114300" distR="114300" simplePos="0" relativeHeight="251662336" behindDoc="0" locked="0" layoutInCell="1" allowOverlap="1" wp14:anchorId="031D2622" wp14:editId="30A6BC46">
                <wp:simplePos x="0" y="0"/>
                <wp:positionH relativeFrom="column">
                  <wp:posOffset>3336925</wp:posOffset>
                </wp:positionH>
                <wp:positionV relativeFrom="paragraph">
                  <wp:posOffset>16510</wp:posOffset>
                </wp:positionV>
                <wp:extent cx="2505075" cy="0"/>
                <wp:effectExtent l="0" t="0" r="28575" b="19050"/>
                <wp:wrapNone/>
                <wp:docPr id="1972360428" name="Straight Connector 19723604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050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C87FE" id="Straight Connector 197236042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75pt,1.3pt" to="460pt,1.3p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UWj+9JgIAAEgEAAAOAAAAZHJzL2Uyb0RvYy54bWysVMuO2yAU3VfqPyDvEz/GeVlxRpWddDPt RMr0AwhgGxUDAhInqvrvvZCHMu2mqpoFucDlcO65By+fT71AR2YsV7KM0nESISaJoly2ZfTtbTOa R8g6LCkWSrIyOjMbPa8+flgOumCZ6pSgzCAAkbYYdBl1zukiji3pWI/tWGkmYbNRpscOpqaNqcED oPcizpJkGg/KUG0UYdbCan3ZjFYBv2kYca9NY5lDooyAmwujCePej/FqiYvWYN1xcqWB/4FFj7mE S+9QNXYYHQz/A6rnxCirGjcmqo9V03DCQg1QTZr8Vs2uw5qFWkAcq+8y2f8HS74etwZxCr1bzLKn aZJn0DGJe+jVzhnM286hSkkJSiqDHpJAuUHbAgAquTW+dnKSO/2iyHeLpKo6LFsWKng7a0BLvdbx uyN+YjXcvx++KAo5+OBUkPHUmN5DgkDoFLp1vneLnRwisJhNkkkym0SI3PZiXNwOamPdZ6Z65IMy Elx6IXGBjy/WeSK4uKX4Zak2XIhgBiHRUEaLSTYJB6wSnPpNn2ZNu6+EQUfs7RR+oSrYeUwz6iBp AOsYputr7DAXlxguF9LjQSlA5xpd/PJjkSzW8/U8H+XZdD3Kk7oefdpU+Wi6SWeT+qmuqjr96aml edFxSpn07G7eTfO/88b1FV1cd3fvXYb4PXrQC8je/gPp0EvfvosR9oqet+bWY7BrSL4+Lf8eHucQ P34AVr8AAAD//wMAUEsDBBQABgAIAAAAIQA2T/622gAAAAcBAAAPAAAAZHJzL2Rvd25yZXYueG1s TI7BTsMwEETvSPyDtUhcqtYhKFUJcSoE5MaFAuK6jZckIl6nsdsGvp6lFziOZvTmFevJ9epAY+g8 G7haJKCIa287bgy8vlTzFagQkS32nsnAFwVYl+dnBebWH/mZDpvYKIFwyNFAG+OQax3qlhyGhR+I pfvwo8MocWy0HfEocNfrNEmW2mHH8tDiQPct1Z+bvTMQqjfaVd+zepa8Xzee0t3D0yMac3kx3d2C ijTFvzH86os6lOK09Xu2QfUGsjTLZGogXYKS/kbuQG1PWZeF/u9f/gAAAP//AwBQSwECLQAUAAYA CAAAACEAtoM4kv4AAADhAQAAEwAAAAAAAAAAAAAAAAAAAAAAW0NvbnRlbnRfVHlwZXNdLnhtbFBL AQItABQABgAIAAAAIQA4/SH/1gAAAJQBAAALAAAAAAAAAAAAAAAAAC8BAABfcmVscy8ucmVsc1BL AQItABQABgAIAAAAIQAUWj+9JgIAAEgEAAAOAAAAAAAAAAAAAAAAAC4CAABkcnMvZTJvRG9jLnht bFBLAQItABQABgAIAAAAIQA2T/622gAAAAcBAAAPAAAAAAAAAAAAAAAAAIAEAABkcnMvZG93bnJl di54bWxQSwUGAAAAAAQABADzAAAAhwUAAAAA "/>
            </w:pict>
          </mc:Fallback>
        </mc:AlternateContent>
      </w:r>
    </w:p>
    <w:p w14:paraId="679FBC5D" w14:textId="73470544" w:rsidR="00460326" w:rsidRPr="00D13A88" w:rsidRDefault="00565B1D" w:rsidP="00187562">
      <w:pPr>
        <w:spacing w:before="120" w:after="120"/>
        <w:ind w:firstLine="567"/>
        <w:jc w:val="both"/>
        <w:rPr>
          <w:rFonts w:ascii="Times New Roman" w:hAnsi="Times New Roman"/>
          <w:color w:val="000000" w:themeColor="text1"/>
          <w:spacing w:val="-2"/>
          <w:sz w:val="28"/>
          <w:szCs w:val="28"/>
        </w:rPr>
      </w:pPr>
      <w:r w:rsidRPr="00D13A88">
        <w:rPr>
          <w:rFonts w:ascii="Times New Roman" w:hAnsi="Times New Roman"/>
          <w:color w:val="000000" w:themeColor="text1"/>
          <w:spacing w:val="-2"/>
          <w:sz w:val="28"/>
          <w:szCs w:val="28"/>
        </w:rPr>
        <w:t>Căn c</w:t>
      </w:r>
      <w:r w:rsidRPr="00D13A88">
        <w:rPr>
          <w:rFonts w:ascii="Times New Roman" w:hAnsi="Times New Roman"/>
          <w:color w:val="000000" w:themeColor="text1"/>
          <w:spacing w:val="-2"/>
          <w:sz w:val="28"/>
          <w:szCs w:val="28"/>
          <w:lang w:val="vi-VN"/>
        </w:rPr>
        <w:t xml:space="preserve">ứ Luật </w:t>
      </w:r>
      <w:r w:rsidRPr="00D13A88">
        <w:rPr>
          <w:rFonts w:ascii="Times New Roman" w:hAnsi="Times New Roman"/>
          <w:color w:val="000000" w:themeColor="text1"/>
          <w:spacing w:val="-2"/>
          <w:sz w:val="28"/>
          <w:szCs w:val="28"/>
        </w:rPr>
        <w:t xml:space="preserve">Phát triển đô thị số …/2026/QH16, Luật </w:t>
      </w:r>
      <w:r w:rsidRPr="00D13A88">
        <w:rPr>
          <w:rFonts w:ascii="Times New Roman" w:hAnsi="Times New Roman"/>
          <w:color w:val="000000" w:themeColor="text1"/>
          <w:spacing w:val="-2"/>
          <w:sz w:val="28"/>
          <w:szCs w:val="28"/>
          <w:lang w:val="vi-VN"/>
        </w:rPr>
        <w:t>Ban h</w:t>
      </w:r>
      <w:r w:rsidRPr="00D13A88">
        <w:rPr>
          <w:rFonts w:ascii="Times New Roman" w:hAnsi="Times New Roman"/>
          <w:color w:val="000000" w:themeColor="text1"/>
          <w:spacing w:val="-2"/>
          <w:sz w:val="28"/>
          <w:szCs w:val="28"/>
        </w:rPr>
        <w:t>ành văn b</w:t>
      </w:r>
      <w:r w:rsidRPr="00D13A88">
        <w:rPr>
          <w:rFonts w:ascii="Times New Roman" w:hAnsi="Times New Roman"/>
          <w:color w:val="000000" w:themeColor="text1"/>
          <w:spacing w:val="-2"/>
          <w:sz w:val="28"/>
          <w:szCs w:val="28"/>
          <w:lang w:val="vi-VN"/>
        </w:rPr>
        <w:t>ản quy phạm ph</w:t>
      </w:r>
      <w:r w:rsidRPr="00D13A88">
        <w:rPr>
          <w:rFonts w:ascii="Times New Roman" w:hAnsi="Times New Roman"/>
          <w:color w:val="000000" w:themeColor="text1"/>
          <w:spacing w:val="-2"/>
          <w:sz w:val="28"/>
          <w:szCs w:val="28"/>
        </w:rPr>
        <w:t>áp lu</w:t>
      </w:r>
      <w:r w:rsidRPr="00D13A88">
        <w:rPr>
          <w:rFonts w:ascii="Times New Roman" w:hAnsi="Times New Roman"/>
          <w:color w:val="000000" w:themeColor="text1"/>
          <w:spacing w:val="-2"/>
          <w:sz w:val="28"/>
          <w:szCs w:val="28"/>
          <w:lang w:val="vi-VN"/>
        </w:rPr>
        <w:t>ật</w:t>
      </w:r>
      <w:r w:rsidRPr="00D13A88">
        <w:rPr>
          <w:rFonts w:ascii="Times New Roman" w:hAnsi="Times New Roman"/>
          <w:color w:val="000000" w:themeColor="text1"/>
          <w:spacing w:val="-2"/>
          <w:sz w:val="28"/>
          <w:szCs w:val="28"/>
        </w:rPr>
        <w:t xml:space="preserve"> số 64/2025/QH15 được sửa đổi, bổ sung bởi Luật số 87/2025/QH15</w:t>
      </w:r>
      <w:r w:rsidRPr="00D13A88">
        <w:rPr>
          <w:rFonts w:ascii="Times New Roman" w:hAnsi="Times New Roman"/>
          <w:color w:val="000000" w:themeColor="text1"/>
          <w:spacing w:val="-2"/>
          <w:sz w:val="28"/>
          <w:szCs w:val="28"/>
          <w:lang w:val="vi-VN"/>
        </w:rPr>
        <w:t xml:space="preserve">, </w:t>
      </w:r>
      <w:r w:rsidRPr="00D13A88">
        <w:rPr>
          <w:rFonts w:ascii="Times New Roman" w:hAnsi="Times New Roman"/>
          <w:color w:val="000000" w:themeColor="text1"/>
          <w:spacing w:val="-2"/>
          <w:sz w:val="28"/>
          <w:szCs w:val="28"/>
        </w:rPr>
        <w:t>Sở Khoa học và Công nghệ</w:t>
      </w:r>
      <w:r w:rsidRPr="00D13A88">
        <w:rPr>
          <w:rFonts w:ascii="Times New Roman" w:hAnsi="Times New Roman"/>
          <w:color w:val="000000" w:themeColor="text1"/>
          <w:spacing w:val="-2"/>
          <w:sz w:val="28"/>
          <w:szCs w:val="28"/>
          <w:lang w:val="vi-VN"/>
        </w:rPr>
        <w:t xml:space="preserve"> đ</w:t>
      </w:r>
      <w:r w:rsidRPr="00D13A88">
        <w:rPr>
          <w:rFonts w:ascii="Times New Roman" w:hAnsi="Times New Roman"/>
          <w:color w:val="000000" w:themeColor="text1"/>
          <w:spacing w:val="-2"/>
          <w:sz w:val="28"/>
          <w:szCs w:val="28"/>
        </w:rPr>
        <w:t>ã đề nghị một số cơ quan, đơn vị có liên quan góp ý</w:t>
      </w:r>
      <w:r w:rsidRPr="00D13A88">
        <w:rPr>
          <w:rFonts w:ascii="Times New Roman" w:hAnsi="Times New Roman"/>
          <w:color w:val="000000" w:themeColor="text1"/>
          <w:spacing w:val="-2"/>
          <w:sz w:val="28"/>
          <w:szCs w:val="28"/>
          <w:lang w:val="vi-VN"/>
        </w:rPr>
        <w:t xml:space="preserve"> đối với hồ sơ </w:t>
      </w:r>
      <w:r w:rsidRPr="00D13A88">
        <w:rPr>
          <w:rFonts w:ascii="Times New Roman" w:hAnsi="Times New Roman"/>
          <w:color w:val="000000" w:themeColor="text1"/>
          <w:spacing w:val="-2"/>
          <w:sz w:val="28"/>
          <w:szCs w:val="28"/>
        </w:rPr>
        <w:t>dự thảo Nghị quyết của Hội đồng nhân dân Thành phố.</w:t>
      </w:r>
    </w:p>
    <w:p w14:paraId="760A2522" w14:textId="6C94AFB5" w:rsidR="00946C27" w:rsidRPr="00D13A88" w:rsidRDefault="00946C27" w:rsidP="00187562">
      <w:pPr>
        <w:spacing w:before="120" w:after="120"/>
        <w:ind w:firstLine="567"/>
        <w:jc w:val="both"/>
        <w:rPr>
          <w:rFonts w:ascii="Times New Roman" w:hAnsi="Times New Roman"/>
          <w:color w:val="000000" w:themeColor="text1"/>
          <w:spacing w:val="-2"/>
          <w:sz w:val="28"/>
          <w:szCs w:val="28"/>
        </w:rPr>
      </w:pPr>
      <w:r w:rsidRPr="00D13A88">
        <w:rPr>
          <w:rFonts w:ascii="Times New Roman" w:hAnsi="Times New Roman"/>
          <w:color w:val="000000" w:themeColor="text1"/>
          <w:spacing w:val="-2"/>
          <w:sz w:val="28"/>
          <w:szCs w:val="28"/>
          <w:lang w:val="en-GB"/>
        </w:rPr>
        <w:t>Bên cạnh đó, Ban ……. đã tổ chức buổi khảo sát đối với hồ sơ dự thảo Nghị quyết ngày…</w:t>
      </w:r>
    </w:p>
    <w:p w14:paraId="7E3F7206" w14:textId="6E69237A" w:rsidR="00946C27" w:rsidRPr="00D13A88" w:rsidRDefault="00946C27" w:rsidP="00187562">
      <w:pPr>
        <w:spacing w:before="120" w:after="120"/>
        <w:ind w:firstLine="567"/>
        <w:jc w:val="both"/>
        <w:rPr>
          <w:rFonts w:ascii="Times New Roman" w:hAnsi="Times New Roman"/>
          <w:color w:val="000000" w:themeColor="text1"/>
          <w:spacing w:val="-2"/>
          <w:sz w:val="28"/>
          <w:szCs w:val="28"/>
        </w:rPr>
      </w:pPr>
      <w:r w:rsidRPr="00D13A88">
        <w:rPr>
          <w:rFonts w:ascii="Times New Roman" w:hAnsi="Times New Roman"/>
          <w:color w:val="000000" w:themeColor="text1"/>
          <w:spacing w:val="-2"/>
          <w:sz w:val="28"/>
          <w:szCs w:val="28"/>
        </w:rPr>
        <w:t>Trên cơ sở ý kiến các cơ quan, đơn vị nêu trên, Sở Khoa học và Công nghệ tiếp thu, giải trình như sau:</w:t>
      </w:r>
    </w:p>
    <w:p w14:paraId="630646F0" w14:textId="77777777" w:rsidR="0083638F" w:rsidRPr="00D13A88" w:rsidRDefault="0083638F" w:rsidP="00187562">
      <w:pPr>
        <w:spacing w:before="120" w:after="120"/>
        <w:ind w:firstLine="567"/>
        <w:jc w:val="both"/>
        <w:rPr>
          <w:rFonts w:ascii="Times New Roman" w:hAnsi="Times New Roman"/>
          <w:b/>
          <w:color w:val="000000" w:themeColor="text1"/>
          <w:sz w:val="28"/>
          <w:szCs w:val="28"/>
        </w:rPr>
      </w:pPr>
      <w:r w:rsidRPr="00D13A88">
        <w:rPr>
          <w:rFonts w:ascii="Times New Roman" w:hAnsi="Times New Roman"/>
          <w:b/>
          <w:color w:val="000000" w:themeColor="text1"/>
          <w:sz w:val="28"/>
          <w:szCs w:val="28"/>
        </w:rPr>
        <w:t>A. Ý KIẾN CỦA CÁC BAN HỘI ĐỒNG NHÂN DÂN THÀNH PHỐ</w:t>
      </w:r>
    </w:p>
    <w:tbl>
      <w:tblPr>
        <w:tblStyle w:val="TableGrid"/>
        <w:tblW w:w="14287" w:type="dxa"/>
        <w:tblInd w:w="18" w:type="dxa"/>
        <w:tblLook w:val="04A0" w:firstRow="1" w:lastRow="0" w:firstColumn="1" w:lastColumn="0" w:noHBand="0" w:noVBand="1"/>
      </w:tblPr>
      <w:tblGrid>
        <w:gridCol w:w="2387"/>
        <w:gridCol w:w="3598"/>
        <w:gridCol w:w="3982"/>
        <w:gridCol w:w="4320"/>
      </w:tblGrid>
      <w:tr w:rsidR="00D13A88" w:rsidRPr="00D13A88" w14:paraId="464B2DB2" w14:textId="77777777" w:rsidTr="0039356E">
        <w:trPr>
          <w:trHeight w:val="780"/>
          <w:tblHeader/>
        </w:trPr>
        <w:tc>
          <w:tcPr>
            <w:tcW w:w="2387" w:type="dxa"/>
            <w:vAlign w:val="center"/>
          </w:tcPr>
          <w:p w14:paraId="02DC61A6" w14:textId="77777777" w:rsidR="0083638F" w:rsidRPr="00D13A88" w:rsidRDefault="0083638F" w:rsidP="0039356E">
            <w:pPr>
              <w:jc w:val="center"/>
              <w:rPr>
                <w:rFonts w:ascii="Times New Roman" w:hAnsi="Times New Roman"/>
                <w:b/>
                <w:color w:val="000000" w:themeColor="text1"/>
                <w:sz w:val="26"/>
                <w:szCs w:val="26"/>
              </w:rPr>
            </w:pPr>
            <w:r w:rsidRPr="00D13A88">
              <w:rPr>
                <w:rFonts w:ascii="Times New Roman" w:hAnsi="Times New Roman"/>
                <w:b/>
                <w:color w:val="000000" w:themeColor="text1"/>
                <w:sz w:val="26"/>
                <w:szCs w:val="26"/>
              </w:rPr>
              <w:t>NHÓM VẤN ĐỀ HOẶC ĐIỀU, KHOẢN</w:t>
            </w:r>
          </w:p>
        </w:tc>
        <w:tc>
          <w:tcPr>
            <w:tcW w:w="3598" w:type="dxa"/>
            <w:vAlign w:val="center"/>
          </w:tcPr>
          <w:p w14:paraId="5B9AC577" w14:textId="77777777" w:rsidR="0083638F" w:rsidRPr="00D13A88" w:rsidRDefault="0083638F" w:rsidP="0039356E">
            <w:pPr>
              <w:jc w:val="center"/>
              <w:rPr>
                <w:rFonts w:ascii="Times New Roman" w:hAnsi="Times New Roman"/>
                <w:b/>
                <w:color w:val="000000" w:themeColor="text1"/>
                <w:sz w:val="26"/>
                <w:szCs w:val="26"/>
              </w:rPr>
            </w:pPr>
            <w:r w:rsidRPr="00D13A88">
              <w:rPr>
                <w:rFonts w:ascii="Times New Roman" w:hAnsi="Times New Roman"/>
                <w:b/>
                <w:color w:val="000000" w:themeColor="text1"/>
                <w:sz w:val="26"/>
                <w:szCs w:val="26"/>
              </w:rPr>
              <w:t>CHỦ THỂ GÓP Ý</w:t>
            </w:r>
          </w:p>
        </w:tc>
        <w:tc>
          <w:tcPr>
            <w:tcW w:w="3982" w:type="dxa"/>
            <w:vAlign w:val="center"/>
          </w:tcPr>
          <w:p w14:paraId="5B964DDB" w14:textId="77777777" w:rsidR="0083638F" w:rsidRPr="00D13A88" w:rsidRDefault="0083638F" w:rsidP="0039356E">
            <w:pPr>
              <w:jc w:val="center"/>
              <w:rPr>
                <w:rFonts w:ascii="Times New Roman" w:hAnsi="Times New Roman"/>
                <w:b/>
                <w:color w:val="000000" w:themeColor="text1"/>
                <w:sz w:val="26"/>
                <w:szCs w:val="26"/>
              </w:rPr>
            </w:pPr>
            <w:r w:rsidRPr="00D13A88">
              <w:rPr>
                <w:rFonts w:ascii="Times New Roman" w:hAnsi="Times New Roman"/>
                <w:b/>
                <w:color w:val="000000" w:themeColor="text1"/>
                <w:sz w:val="26"/>
                <w:szCs w:val="26"/>
              </w:rPr>
              <w:t>NỘI DUNG GÓP Ý</w:t>
            </w:r>
          </w:p>
        </w:tc>
        <w:tc>
          <w:tcPr>
            <w:tcW w:w="4320" w:type="dxa"/>
            <w:vAlign w:val="center"/>
          </w:tcPr>
          <w:p w14:paraId="3035C36B" w14:textId="77777777" w:rsidR="0083638F" w:rsidRPr="00D13A88" w:rsidRDefault="0083638F" w:rsidP="0039356E">
            <w:pPr>
              <w:jc w:val="center"/>
              <w:rPr>
                <w:rFonts w:ascii="Times New Roman" w:hAnsi="Times New Roman"/>
                <w:b/>
                <w:color w:val="000000" w:themeColor="text1"/>
                <w:sz w:val="26"/>
                <w:szCs w:val="26"/>
              </w:rPr>
            </w:pPr>
            <w:r w:rsidRPr="00D13A88">
              <w:rPr>
                <w:rFonts w:ascii="Times New Roman" w:hAnsi="Times New Roman"/>
                <w:b/>
                <w:color w:val="000000" w:themeColor="text1"/>
                <w:sz w:val="26"/>
                <w:szCs w:val="26"/>
              </w:rPr>
              <w:t>NỘI DUNG TIẾP THU,</w:t>
            </w:r>
          </w:p>
          <w:p w14:paraId="1996B930" w14:textId="77777777" w:rsidR="0083638F" w:rsidRPr="00D13A88" w:rsidRDefault="0083638F" w:rsidP="0039356E">
            <w:pPr>
              <w:jc w:val="center"/>
              <w:rPr>
                <w:rFonts w:ascii="Times New Roman" w:hAnsi="Times New Roman"/>
                <w:b/>
                <w:color w:val="000000" w:themeColor="text1"/>
                <w:sz w:val="26"/>
                <w:szCs w:val="26"/>
              </w:rPr>
            </w:pPr>
            <w:r w:rsidRPr="00D13A88">
              <w:rPr>
                <w:rFonts w:ascii="Times New Roman" w:hAnsi="Times New Roman"/>
                <w:b/>
                <w:color w:val="000000" w:themeColor="text1"/>
                <w:sz w:val="26"/>
                <w:szCs w:val="26"/>
              </w:rPr>
              <w:t>GIẢI TRÌNH</w:t>
            </w:r>
          </w:p>
        </w:tc>
      </w:tr>
      <w:tr w:rsidR="00D13A88" w:rsidRPr="00D13A88" w14:paraId="486BC9F0" w14:textId="77777777" w:rsidTr="0039356E">
        <w:tc>
          <w:tcPr>
            <w:tcW w:w="2387" w:type="dxa"/>
          </w:tcPr>
          <w:p w14:paraId="4D24D58A" w14:textId="77777777" w:rsidR="0083638F" w:rsidRPr="00D13A88" w:rsidRDefault="0083638F" w:rsidP="0083638F">
            <w:pPr>
              <w:ind w:firstLine="176"/>
              <w:jc w:val="both"/>
              <w:rPr>
                <w:rFonts w:ascii="Times New Roman" w:hAnsi="Times New Roman"/>
                <w:color w:val="000000" w:themeColor="text1"/>
                <w:sz w:val="26"/>
                <w:szCs w:val="26"/>
              </w:rPr>
            </w:pPr>
          </w:p>
        </w:tc>
        <w:tc>
          <w:tcPr>
            <w:tcW w:w="3598" w:type="dxa"/>
          </w:tcPr>
          <w:p w14:paraId="1920DABD" w14:textId="77777777" w:rsidR="0083638F" w:rsidRPr="00D13A88" w:rsidRDefault="0083638F" w:rsidP="0039356E">
            <w:pPr>
              <w:ind w:firstLine="176"/>
              <w:jc w:val="both"/>
              <w:rPr>
                <w:rFonts w:ascii="Times New Roman" w:hAnsi="Times New Roman"/>
                <w:color w:val="000000" w:themeColor="text1"/>
                <w:sz w:val="26"/>
                <w:szCs w:val="26"/>
              </w:rPr>
            </w:pPr>
          </w:p>
        </w:tc>
        <w:tc>
          <w:tcPr>
            <w:tcW w:w="3982" w:type="dxa"/>
          </w:tcPr>
          <w:p w14:paraId="1C7442B4" w14:textId="77777777" w:rsidR="0083638F" w:rsidRPr="00D13A88" w:rsidRDefault="0083638F" w:rsidP="0039356E">
            <w:pPr>
              <w:ind w:firstLine="193"/>
              <w:jc w:val="both"/>
              <w:rPr>
                <w:rFonts w:ascii="Times New Roman" w:hAnsi="Times New Roman"/>
                <w:iCs/>
                <w:color w:val="000000" w:themeColor="text1"/>
                <w:sz w:val="26"/>
                <w:szCs w:val="26"/>
              </w:rPr>
            </w:pPr>
          </w:p>
        </w:tc>
        <w:tc>
          <w:tcPr>
            <w:tcW w:w="4320" w:type="dxa"/>
          </w:tcPr>
          <w:p w14:paraId="332FB627" w14:textId="77777777" w:rsidR="00B45BE8" w:rsidRPr="00D13A88" w:rsidRDefault="00B45BE8" w:rsidP="0039356E">
            <w:pPr>
              <w:ind w:firstLine="176"/>
              <w:jc w:val="both"/>
              <w:rPr>
                <w:rFonts w:ascii="Times New Roman" w:hAnsi="Times New Roman"/>
                <w:color w:val="000000" w:themeColor="text1"/>
                <w:sz w:val="26"/>
                <w:szCs w:val="26"/>
              </w:rPr>
            </w:pPr>
          </w:p>
        </w:tc>
      </w:tr>
      <w:tr w:rsidR="00D13A88" w:rsidRPr="00D13A88" w14:paraId="10EDD396" w14:textId="77777777" w:rsidTr="0039356E">
        <w:tc>
          <w:tcPr>
            <w:tcW w:w="2387" w:type="dxa"/>
          </w:tcPr>
          <w:p w14:paraId="6A2ED8DF" w14:textId="77777777" w:rsidR="0039356E" w:rsidRPr="00D13A88" w:rsidRDefault="0039356E" w:rsidP="0039356E">
            <w:pPr>
              <w:ind w:firstLine="176"/>
              <w:jc w:val="both"/>
              <w:rPr>
                <w:rFonts w:ascii="Times New Roman" w:hAnsi="Times New Roman"/>
                <w:color w:val="000000" w:themeColor="text1"/>
                <w:sz w:val="26"/>
                <w:szCs w:val="26"/>
              </w:rPr>
            </w:pPr>
          </w:p>
        </w:tc>
        <w:tc>
          <w:tcPr>
            <w:tcW w:w="3598" w:type="dxa"/>
          </w:tcPr>
          <w:p w14:paraId="2242D74D" w14:textId="77777777" w:rsidR="0039356E" w:rsidRPr="00D13A88" w:rsidRDefault="0039356E" w:rsidP="0039356E">
            <w:pPr>
              <w:ind w:firstLine="176"/>
              <w:jc w:val="both"/>
              <w:rPr>
                <w:rFonts w:ascii="Times New Roman" w:hAnsi="Times New Roman"/>
                <w:color w:val="000000" w:themeColor="text1"/>
                <w:sz w:val="26"/>
                <w:szCs w:val="26"/>
              </w:rPr>
            </w:pPr>
          </w:p>
        </w:tc>
        <w:tc>
          <w:tcPr>
            <w:tcW w:w="3982" w:type="dxa"/>
          </w:tcPr>
          <w:p w14:paraId="794A7B36" w14:textId="77777777" w:rsidR="0039356E" w:rsidRPr="00D13A88" w:rsidRDefault="0039356E" w:rsidP="0039356E">
            <w:pPr>
              <w:ind w:firstLine="193"/>
              <w:jc w:val="both"/>
              <w:rPr>
                <w:rFonts w:ascii="Times New Roman" w:hAnsi="Times New Roman"/>
                <w:color w:val="000000" w:themeColor="text1"/>
                <w:sz w:val="26"/>
                <w:szCs w:val="26"/>
              </w:rPr>
            </w:pPr>
          </w:p>
        </w:tc>
        <w:tc>
          <w:tcPr>
            <w:tcW w:w="4320" w:type="dxa"/>
          </w:tcPr>
          <w:p w14:paraId="3965C971" w14:textId="77777777" w:rsidR="0039356E" w:rsidRPr="00D13A88" w:rsidRDefault="0039356E" w:rsidP="0039356E">
            <w:pPr>
              <w:spacing w:before="120" w:after="120"/>
              <w:jc w:val="both"/>
              <w:rPr>
                <w:rFonts w:ascii="Times New Roman" w:hAnsi="Times New Roman"/>
                <w:bCs/>
                <w:iCs/>
                <w:noProof/>
                <w:color w:val="000000" w:themeColor="text1"/>
                <w:spacing w:val="-2"/>
                <w:sz w:val="26"/>
                <w:szCs w:val="26"/>
                <w:lang w:val="en-GB"/>
              </w:rPr>
            </w:pPr>
          </w:p>
        </w:tc>
      </w:tr>
    </w:tbl>
    <w:p w14:paraId="0EDAEBAD" w14:textId="77777777" w:rsidR="0083638F" w:rsidRPr="00D13A88" w:rsidRDefault="0083638F" w:rsidP="00187562">
      <w:pPr>
        <w:spacing w:before="120" w:after="120"/>
        <w:ind w:firstLine="567"/>
        <w:jc w:val="both"/>
        <w:rPr>
          <w:rFonts w:ascii="Times New Roman" w:hAnsi="Times New Roman"/>
          <w:b/>
          <w:color w:val="000000" w:themeColor="text1"/>
          <w:sz w:val="28"/>
          <w:szCs w:val="28"/>
        </w:rPr>
      </w:pPr>
      <w:r w:rsidRPr="00D13A88">
        <w:rPr>
          <w:rFonts w:ascii="Times New Roman" w:hAnsi="Times New Roman"/>
          <w:b/>
          <w:color w:val="000000" w:themeColor="text1"/>
          <w:sz w:val="28"/>
          <w:szCs w:val="28"/>
        </w:rPr>
        <w:t>B. Ý KIẾN CỦA CÁC TRƯỜNG ĐẠI HỌC</w:t>
      </w:r>
    </w:p>
    <w:p w14:paraId="7F8FF894" w14:textId="33ED1CD1" w:rsidR="00945154" w:rsidRPr="00D13A88" w:rsidRDefault="007F07DB" w:rsidP="00187562">
      <w:pPr>
        <w:spacing w:before="120" w:after="120"/>
        <w:ind w:firstLine="567"/>
        <w:jc w:val="both"/>
        <w:rPr>
          <w:rFonts w:ascii="Times New Roman" w:hAnsi="Times New Roman"/>
          <w:color w:val="000000" w:themeColor="text1"/>
          <w:sz w:val="28"/>
          <w:szCs w:val="28"/>
        </w:rPr>
      </w:pPr>
      <w:r w:rsidRPr="00D13A88">
        <w:rPr>
          <w:rFonts w:ascii="Times New Roman" w:hAnsi="Times New Roman"/>
          <w:b/>
          <w:color w:val="000000" w:themeColor="text1"/>
          <w:sz w:val="28"/>
          <w:szCs w:val="28"/>
        </w:rPr>
        <w:lastRenderedPageBreak/>
        <w:t>I.</w:t>
      </w:r>
      <w:r w:rsidRPr="00D13A88">
        <w:rPr>
          <w:rFonts w:ascii="Times New Roman" w:hAnsi="Times New Roman"/>
          <w:color w:val="000000" w:themeColor="text1"/>
          <w:sz w:val="28"/>
          <w:szCs w:val="28"/>
        </w:rPr>
        <w:t xml:space="preserve"> T</w:t>
      </w:r>
      <w:r w:rsidRPr="00D13A88">
        <w:rPr>
          <w:rFonts w:ascii="Times New Roman" w:hAnsi="Times New Roman"/>
          <w:color w:val="000000" w:themeColor="text1"/>
          <w:sz w:val="28"/>
          <w:szCs w:val="28"/>
          <w:lang w:val="vi-VN"/>
        </w:rPr>
        <w:t xml:space="preserve">ổng số </w:t>
      </w:r>
      <w:r w:rsidRPr="00D13A88">
        <w:rPr>
          <w:rFonts w:ascii="Times New Roman" w:hAnsi="Times New Roman"/>
          <w:color w:val="000000" w:themeColor="text1"/>
          <w:sz w:val="28"/>
          <w:szCs w:val="28"/>
        </w:rPr>
        <w:t>các trường Đại học đã g</w:t>
      </w:r>
      <w:r w:rsidRPr="00D13A88">
        <w:rPr>
          <w:rFonts w:ascii="Times New Roman" w:hAnsi="Times New Roman"/>
          <w:color w:val="000000" w:themeColor="text1"/>
          <w:sz w:val="28"/>
          <w:szCs w:val="28"/>
          <w:lang w:val="vi-VN"/>
        </w:rPr>
        <w:t>ửi </w:t>
      </w:r>
      <w:r w:rsidRPr="00D13A88">
        <w:rPr>
          <w:rFonts w:ascii="Times New Roman" w:hAnsi="Times New Roman"/>
          <w:color w:val="000000" w:themeColor="text1"/>
          <w:sz w:val="28"/>
          <w:szCs w:val="28"/>
        </w:rPr>
        <w:t>ý ki</w:t>
      </w:r>
      <w:r w:rsidRPr="00D13A88">
        <w:rPr>
          <w:rFonts w:ascii="Times New Roman" w:hAnsi="Times New Roman"/>
          <w:color w:val="000000" w:themeColor="text1"/>
          <w:sz w:val="28"/>
          <w:szCs w:val="28"/>
          <w:lang w:val="vi-VN"/>
        </w:rPr>
        <w:t>ến</w:t>
      </w:r>
      <w:r w:rsidRPr="00D13A88">
        <w:rPr>
          <w:rFonts w:ascii="Times New Roman" w:hAnsi="Times New Roman"/>
          <w:color w:val="000000" w:themeColor="text1"/>
          <w:sz w:val="28"/>
          <w:szCs w:val="28"/>
        </w:rPr>
        <w:t xml:space="preserve"> là 01.</w:t>
      </w:r>
    </w:p>
    <w:p w14:paraId="72CA34E7" w14:textId="77777777" w:rsidR="00CF3F42" w:rsidRPr="00D13A88" w:rsidRDefault="008E6499" w:rsidP="00187562">
      <w:pPr>
        <w:spacing w:before="120" w:after="120"/>
        <w:ind w:firstLine="567"/>
        <w:jc w:val="both"/>
        <w:rPr>
          <w:rFonts w:ascii="Times New Roman" w:hAnsi="Times New Roman"/>
          <w:color w:val="000000" w:themeColor="text1"/>
          <w:sz w:val="28"/>
          <w:szCs w:val="28"/>
        </w:rPr>
      </w:pPr>
      <w:r w:rsidRPr="00D13A88">
        <w:rPr>
          <w:rFonts w:ascii="Times New Roman" w:hAnsi="Times New Roman"/>
          <w:color w:val="000000" w:themeColor="text1"/>
          <w:sz w:val="28"/>
          <w:szCs w:val="28"/>
        </w:rPr>
        <w:t xml:space="preserve">Tính đến ngày 06 tháng 8 năm 2026, </w:t>
      </w:r>
      <w:r w:rsidRPr="00D13A88">
        <w:rPr>
          <w:rFonts w:ascii="Times New Roman" w:hAnsi="Times New Roman"/>
          <w:color w:val="000000" w:themeColor="text1"/>
          <w:spacing w:val="-2"/>
          <w:sz w:val="28"/>
          <w:szCs w:val="28"/>
        </w:rPr>
        <w:t>Sở Khoa học và Công nghệ</w:t>
      </w:r>
      <w:r w:rsidRPr="00D13A88">
        <w:rPr>
          <w:rFonts w:ascii="Times New Roman" w:hAnsi="Times New Roman"/>
          <w:color w:val="000000" w:themeColor="text1"/>
          <w:sz w:val="28"/>
          <w:szCs w:val="28"/>
        </w:rPr>
        <w:t xml:space="preserve"> nhận được  02 văn bản góp ý gồm:</w:t>
      </w:r>
    </w:p>
    <w:p w14:paraId="51403076" w14:textId="5045F129" w:rsidR="00565B1D" w:rsidRPr="00D13A88" w:rsidRDefault="00CF3F42" w:rsidP="00CF3F42">
      <w:pPr>
        <w:pStyle w:val="ListParagraph"/>
        <w:numPr>
          <w:ilvl w:val="0"/>
          <w:numId w:val="26"/>
        </w:numPr>
        <w:spacing w:before="120" w:after="120"/>
        <w:jc w:val="both"/>
        <w:rPr>
          <w:rFonts w:ascii="Times New Roman" w:hAnsi="Times New Roman" w:cs="Times New Roman"/>
          <w:color w:val="000000" w:themeColor="text1"/>
          <w:sz w:val="28"/>
          <w:szCs w:val="28"/>
        </w:rPr>
      </w:pPr>
      <w:r w:rsidRPr="00D13A88">
        <w:rPr>
          <w:rFonts w:ascii="Times New Roman" w:hAnsi="Times New Roman" w:cs="Times New Roman"/>
          <w:color w:val="000000" w:themeColor="text1"/>
          <w:sz w:val="28"/>
          <w:szCs w:val="28"/>
        </w:rPr>
        <w:t>01 văn bản của Trường Đại học Luật Thành phố Hồ Chí Minh;</w:t>
      </w:r>
    </w:p>
    <w:p w14:paraId="264198B3" w14:textId="41D71A25" w:rsidR="00CF3F42" w:rsidRPr="00D13A88" w:rsidRDefault="00CF3F42" w:rsidP="00F63875">
      <w:pPr>
        <w:pStyle w:val="ListParagraph"/>
        <w:numPr>
          <w:ilvl w:val="0"/>
          <w:numId w:val="26"/>
        </w:numPr>
        <w:spacing w:before="120" w:after="120"/>
        <w:jc w:val="both"/>
        <w:rPr>
          <w:rFonts w:ascii="Times New Roman" w:hAnsi="Times New Roman" w:cs="Times New Roman"/>
          <w:color w:val="000000" w:themeColor="text1"/>
          <w:sz w:val="28"/>
          <w:szCs w:val="28"/>
        </w:rPr>
      </w:pPr>
      <w:r w:rsidRPr="00D13A88">
        <w:rPr>
          <w:rFonts w:ascii="Times New Roman" w:hAnsi="Times New Roman" w:cs="Times New Roman"/>
          <w:color w:val="000000" w:themeColor="text1"/>
          <w:sz w:val="28"/>
          <w:szCs w:val="28"/>
        </w:rPr>
        <w:t>01 văn bản góp ý của PGS. TS. BS Nguyễn Vũ Trung, Viện trưởng Viện Pasteur Thành phố Hồ Chí Minh.</w:t>
      </w:r>
    </w:p>
    <w:p w14:paraId="269011E2" w14:textId="77777777" w:rsidR="002531DC" w:rsidRPr="00D13A88" w:rsidRDefault="007F07DB" w:rsidP="00187562">
      <w:pPr>
        <w:spacing w:before="120" w:after="120"/>
        <w:ind w:firstLine="567"/>
        <w:jc w:val="both"/>
        <w:rPr>
          <w:rFonts w:ascii="Times New Roman" w:hAnsi="Times New Roman"/>
          <w:color w:val="000000" w:themeColor="text1"/>
          <w:sz w:val="28"/>
          <w:szCs w:val="28"/>
        </w:rPr>
      </w:pPr>
      <w:r w:rsidRPr="00D13A88">
        <w:rPr>
          <w:rFonts w:ascii="Times New Roman" w:hAnsi="Times New Roman"/>
          <w:b/>
          <w:color w:val="000000" w:themeColor="text1"/>
          <w:sz w:val="28"/>
          <w:szCs w:val="28"/>
        </w:rPr>
        <w:t>II.</w:t>
      </w:r>
      <w:r w:rsidRPr="00D13A88">
        <w:rPr>
          <w:rFonts w:ascii="Times New Roman" w:hAnsi="Times New Roman"/>
          <w:color w:val="000000" w:themeColor="text1"/>
          <w:sz w:val="28"/>
          <w:szCs w:val="28"/>
        </w:rPr>
        <w:t xml:space="preserve"> K</w:t>
      </w:r>
      <w:r w:rsidRPr="00D13A88">
        <w:rPr>
          <w:rFonts w:ascii="Times New Roman" w:hAnsi="Times New Roman"/>
          <w:color w:val="000000" w:themeColor="text1"/>
          <w:sz w:val="28"/>
          <w:szCs w:val="28"/>
          <w:lang w:val="vi-VN"/>
        </w:rPr>
        <w:t>ết quả cụ thể như sau:</w:t>
      </w:r>
    </w:p>
    <w:tbl>
      <w:tblPr>
        <w:tblStyle w:val="TableGrid"/>
        <w:tblW w:w="14418" w:type="dxa"/>
        <w:tblInd w:w="18" w:type="dxa"/>
        <w:tblLook w:val="04A0" w:firstRow="1" w:lastRow="0" w:firstColumn="1" w:lastColumn="0" w:noHBand="0" w:noVBand="1"/>
      </w:tblPr>
      <w:tblGrid>
        <w:gridCol w:w="2047"/>
        <w:gridCol w:w="1530"/>
        <w:gridCol w:w="4050"/>
        <w:gridCol w:w="6791"/>
      </w:tblGrid>
      <w:tr w:rsidR="00D13A88" w:rsidRPr="00D13A88" w14:paraId="4D49DDEB" w14:textId="77777777" w:rsidTr="000123C5">
        <w:trPr>
          <w:trHeight w:val="780"/>
          <w:tblHeader/>
        </w:trPr>
        <w:tc>
          <w:tcPr>
            <w:tcW w:w="2047" w:type="dxa"/>
            <w:vAlign w:val="center"/>
          </w:tcPr>
          <w:p w14:paraId="000ADDFA" w14:textId="77777777" w:rsidR="00732C6C" w:rsidRPr="00D13A88" w:rsidRDefault="00732C6C" w:rsidP="00460F8D">
            <w:pPr>
              <w:jc w:val="center"/>
              <w:rPr>
                <w:rFonts w:ascii="Times New Roman" w:hAnsi="Times New Roman"/>
                <w:b/>
                <w:color w:val="000000" w:themeColor="text1"/>
                <w:sz w:val="24"/>
                <w:szCs w:val="24"/>
              </w:rPr>
            </w:pPr>
            <w:r w:rsidRPr="00D13A88">
              <w:rPr>
                <w:rFonts w:ascii="Times New Roman" w:hAnsi="Times New Roman"/>
                <w:b/>
                <w:color w:val="000000" w:themeColor="text1"/>
                <w:sz w:val="24"/>
                <w:szCs w:val="24"/>
              </w:rPr>
              <w:t>NHÓM VẤN ĐỀ HOẶC ĐIỀU, KHOẢN</w:t>
            </w:r>
          </w:p>
        </w:tc>
        <w:tc>
          <w:tcPr>
            <w:tcW w:w="1530" w:type="dxa"/>
            <w:vAlign w:val="center"/>
          </w:tcPr>
          <w:p w14:paraId="3BF26F40" w14:textId="77777777" w:rsidR="00732C6C" w:rsidRPr="00D13A88" w:rsidRDefault="00732C6C" w:rsidP="00460F8D">
            <w:pPr>
              <w:jc w:val="center"/>
              <w:rPr>
                <w:rFonts w:ascii="Times New Roman" w:hAnsi="Times New Roman"/>
                <w:b/>
                <w:color w:val="000000" w:themeColor="text1"/>
                <w:sz w:val="24"/>
                <w:szCs w:val="24"/>
              </w:rPr>
            </w:pPr>
            <w:r w:rsidRPr="00D13A88">
              <w:rPr>
                <w:rFonts w:ascii="Times New Roman" w:hAnsi="Times New Roman"/>
                <w:b/>
                <w:color w:val="000000" w:themeColor="text1"/>
                <w:sz w:val="24"/>
                <w:szCs w:val="24"/>
              </w:rPr>
              <w:t>CHỦ THỂ GÓP Ý</w:t>
            </w:r>
          </w:p>
        </w:tc>
        <w:tc>
          <w:tcPr>
            <w:tcW w:w="4050" w:type="dxa"/>
            <w:vAlign w:val="center"/>
          </w:tcPr>
          <w:p w14:paraId="5EA2C344" w14:textId="77777777" w:rsidR="00732C6C" w:rsidRPr="00D13A88" w:rsidRDefault="00732C6C" w:rsidP="00460F8D">
            <w:pPr>
              <w:jc w:val="center"/>
              <w:rPr>
                <w:rFonts w:ascii="Times New Roman" w:hAnsi="Times New Roman"/>
                <w:b/>
                <w:color w:val="000000" w:themeColor="text1"/>
                <w:sz w:val="24"/>
                <w:szCs w:val="24"/>
              </w:rPr>
            </w:pPr>
            <w:r w:rsidRPr="00D13A88">
              <w:rPr>
                <w:rFonts w:ascii="Times New Roman" w:hAnsi="Times New Roman"/>
                <w:b/>
                <w:color w:val="000000" w:themeColor="text1"/>
                <w:sz w:val="24"/>
                <w:szCs w:val="24"/>
              </w:rPr>
              <w:t>NỘI DUNG GÓP Ý</w:t>
            </w:r>
          </w:p>
        </w:tc>
        <w:tc>
          <w:tcPr>
            <w:tcW w:w="6791" w:type="dxa"/>
            <w:vAlign w:val="center"/>
          </w:tcPr>
          <w:p w14:paraId="2529E717" w14:textId="77777777" w:rsidR="00732C6C" w:rsidRPr="00D13A88" w:rsidRDefault="00732C6C" w:rsidP="00460F8D">
            <w:pPr>
              <w:jc w:val="center"/>
              <w:rPr>
                <w:rFonts w:ascii="Times New Roman" w:hAnsi="Times New Roman"/>
                <w:b/>
                <w:color w:val="000000" w:themeColor="text1"/>
                <w:sz w:val="24"/>
                <w:szCs w:val="24"/>
              </w:rPr>
            </w:pPr>
            <w:r w:rsidRPr="00D13A88">
              <w:rPr>
                <w:rFonts w:ascii="Times New Roman" w:hAnsi="Times New Roman"/>
                <w:b/>
                <w:color w:val="000000" w:themeColor="text1"/>
                <w:sz w:val="24"/>
                <w:szCs w:val="24"/>
              </w:rPr>
              <w:t>NỘI DUNG TIẾP THU,</w:t>
            </w:r>
          </w:p>
          <w:p w14:paraId="53931999" w14:textId="77777777" w:rsidR="00732C6C" w:rsidRPr="00D13A88" w:rsidRDefault="00732C6C" w:rsidP="00460F8D">
            <w:pPr>
              <w:jc w:val="center"/>
              <w:rPr>
                <w:rFonts w:ascii="Times New Roman" w:hAnsi="Times New Roman"/>
                <w:b/>
                <w:color w:val="000000" w:themeColor="text1"/>
                <w:sz w:val="24"/>
                <w:szCs w:val="24"/>
              </w:rPr>
            </w:pPr>
            <w:r w:rsidRPr="00D13A88">
              <w:rPr>
                <w:rFonts w:ascii="Times New Roman" w:hAnsi="Times New Roman"/>
                <w:b/>
                <w:color w:val="000000" w:themeColor="text1"/>
                <w:sz w:val="24"/>
                <w:szCs w:val="24"/>
              </w:rPr>
              <w:t>GIẢI TRÌNH</w:t>
            </w:r>
          </w:p>
        </w:tc>
      </w:tr>
      <w:tr w:rsidR="00D13A88" w:rsidRPr="00D13A88" w14:paraId="0E018F1F" w14:textId="77777777" w:rsidTr="000123C5">
        <w:tc>
          <w:tcPr>
            <w:tcW w:w="2047" w:type="dxa"/>
          </w:tcPr>
          <w:p w14:paraId="25D36A52" w14:textId="783E1775" w:rsidR="00C25D98" w:rsidRPr="00D13A88" w:rsidRDefault="00C25D98" w:rsidP="00911A11">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Căn cứ pháp lý dẫn chiếu Luật Phát triển đô thị (Lời mở đầu, Điều 1, Điều 4 khoản 1)</w:t>
            </w:r>
          </w:p>
        </w:tc>
        <w:tc>
          <w:tcPr>
            <w:tcW w:w="1530" w:type="dxa"/>
            <w:vMerge w:val="restart"/>
          </w:tcPr>
          <w:p w14:paraId="1E8FBB17" w14:textId="77777777" w:rsidR="00C25D98" w:rsidRPr="00D13A88" w:rsidRDefault="00C25D98" w:rsidP="00911A11">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Trường Đại học Luật TP.HCM</w:t>
            </w:r>
          </w:p>
          <w:p w14:paraId="3AA29F7C" w14:textId="3D6ED5FB" w:rsidR="00C25D98" w:rsidRPr="00D13A88" w:rsidRDefault="00C25D98" w:rsidP="00C25D98">
            <w:pPr>
              <w:rPr>
                <w:rFonts w:ascii="Times New Roman" w:hAnsi="Times New Roman"/>
                <w:color w:val="000000" w:themeColor="text1"/>
                <w:sz w:val="24"/>
                <w:szCs w:val="24"/>
              </w:rPr>
            </w:pPr>
          </w:p>
        </w:tc>
        <w:tc>
          <w:tcPr>
            <w:tcW w:w="4050" w:type="dxa"/>
          </w:tcPr>
          <w:p w14:paraId="0BCD2DC5" w14:textId="63280B28" w:rsidR="00C25D98" w:rsidRPr="00D13A88" w:rsidRDefault="00C25D98" w:rsidP="00911A11">
            <w:pPr>
              <w:ind w:firstLine="193"/>
              <w:jc w:val="both"/>
              <w:rPr>
                <w:rFonts w:ascii="Times New Roman" w:hAnsi="Times New Roman"/>
                <w:iCs/>
                <w:color w:val="000000" w:themeColor="text1"/>
                <w:sz w:val="24"/>
                <w:szCs w:val="24"/>
              </w:rPr>
            </w:pPr>
            <w:r w:rsidRPr="00D13A88">
              <w:rPr>
                <w:rFonts w:ascii="Times New Roman" w:hAnsi="Times New Roman"/>
                <w:color w:val="000000" w:themeColor="text1"/>
                <w:sz w:val="24"/>
                <w:szCs w:val="24"/>
              </w:rPr>
              <w:t>Bất cập lớn nhất là Dự thảo Nghị quyết dẫn chiếu điểm a khoản 2 Điều 31 Dự thảo Luật Phát triển đô thị làm căn cứ ban hành các chính sách ưu đãi. Tuy nhiên, điểm a khoản 2 Điều 31 (bản góp ý) quy định về khoản tăng thu từ thuế xuất khẩu, nhập khẩu, không phải điều khoản trao thẩm quyền cho HĐND Thành phố ban hành chính sách ưu đãi khoa học, công nghệ. Cần sửa toàn bộ căn cứ dẫn chiếu trước khi trình thông qua.</w:t>
            </w:r>
          </w:p>
        </w:tc>
        <w:tc>
          <w:tcPr>
            <w:tcW w:w="6791" w:type="dxa"/>
          </w:tcPr>
          <w:p w14:paraId="59618A40" w14:textId="0F6A17AC" w:rsidR="00C25D98" w:rsidRPr="00D13A88" w:rsidRDefault="00C25D98" w:rsidP="00582FC0">
            <w:pPr>
              <w:ind w:firstLine="176"/>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w:t>
            </w:r>
            <w:r w:rsidRPr="00D13A88">
              <w:rPr>
                <w:rFonts w:ascii="Times New Roman" w:hAnsi="Times New Roman"/>
                <w:color w:val="000000" w:themeColor="text1"/>
                <w:sz w:val="24"/>
                <w:szCs w:val="24"/>
              </w:rPr>
              <w:t xml:space="preserve">. Đã rà soát và điều chỉnh toàn bộ căn cứ dẫn chiếu trong dự thảo Nghị quyết (Lời mở đầu, Điều 1, khoản 1 Điều 4) từ “điểm a khoản 2 Điều 31” sang “điểm a khoản 2 Điều </w:t>
            </w:r>
            <w:r w:rsidR="00582FC0">
              <w:rPr>
                <w:rFonts w:ascii="Times New Roman" w:hAnsi="Times New Roman"/>
                <w:color w:val="000000" w:themeColor="text1"/>
                <w:sz w:val="24"/>
                <w:szCs w:val="24"/>
              </w:rPr>
              <w:t>30</w:t>
            </w:r>
            <w:r w:rsidRPr="00D13A88">
              <w:rPr>
                <w:rFonts w:ascii="Times New Roman" w:hAnsi="Times New Roman"/>
                <w:color w:val="000000" w:themeColor="text1"/>
                <w:sz w:val="24"/>
                <w:szCs w:val="24"/>
              </w:rPr>
              <w:t xml:space="preserve">” Luật Phát triển đô thị (bản </w:t>
            </w:r>
            <w:r w:rsidR="00582FC0">
              <w:rPr>
                <w:rFonts w:ascii="Times New Roman" w:hAnsi="Times New Roman"/>
                <w:color w:val="000000" w:themeColor="text1"/>
                <w:sz w:val="24"/>
                <w:szCs w:val="24"/>
              </w:rPr>
              <w:t>trình Quốc hội</w:t>
            </w:r>
            <w:r w:rsidRPr="00D13A88">
              <w:rPr>
                <w:rFonts w:ascii="Times New Roman" w:hAnsi="Times New Roman"/>
                <w:color w:val="000000" w:themeColor="text1"/>
                <w:sz w:val="24"/>
                <w:szCs w:val="24"/>
              </w:rPr>
              <w:t xml:space="preserve"> ngày </w:t>
            </w:r>
            <w:r w:rsidR="00582FC0">
              <w:rPr>
                <w:rFonts w:ascii="Times New Roman" w:hAnsi="Times New Roman"/>
                <w:color w:val="000000" w:themeColor="text1"/>
                <w:sz w:val="24"/>
                <w:szCs w:val="24"/>
              </w:rPr>
              <w:t>2</w:t>
            </w:r>
            <w:r w:rsidRPr="00D13A88">
              <w:rPr>
                <w:rFonts w:ascii="Times New Roman" w:hAnsi="Times New Roman"/>
                <w:color w:val="000000" w:themeColor="text1"/>
                <w:sz w:val="24"/>
                <w:szCs w:val="24"/>
              </w:rPr>
              <w:t>3/8/2026), đúng với điều khoản trao quyền cho Hội đồng nhân dân Thành phố quy định cơ chế, chính sách ưu đãi, hỗ trợ phát triển hạ tầng, hệ thống đổi mới sáng tạo, tổ chức có hoạt động khoa học, công nghệ, đổi mới sáng tạo và chuyển đổi số trên địa bàn Thành phố.</w:t>
            </w:r>
          </w:p>
        </w:tc>
      </w:tr>
      <w:tr w:rsidR="00D13A88" w:rsidRPr="00D13A88" w14:paraId="504C2B68" w14:textId="77777777" w:rsidTr="000123C5">
        <w:tc>
          <w:tcPr>
            <w:tcW w:w="2047" w:type="dxa"/>
          </w:tcPr>
          <w:p w14:paraId="6CDC51E1" w14:textId="62169526" w:rsidR="00C25D98" w:rsidRPr="00D13A88" w:rsidRDefault="00C25D98" w:rsidP="00911A11">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Khoản 5, khoản 7 điểm b Điều 4; điểm c khoản 1 Điều 17</w:t>
            </w:r>
          </w:p>
        </w:tc>
        <w:tc>
          <w:tcPr>
            <w:tcW w:w="1530" w:type="dxa"/>
            <w:vMerge/>
          </w:tcPr>
          <w:p w14:paraId="5B3E18BA" w14:textId="7A475B8A" w:rsidR="00C25D98" w:rsidRPr="00D13A88" w:rsidRDefault="00C25D98" w:rsidP="00911A11">
            <w:pPr>
              <w:rPr>
                <w:rFonts w:ascii="Times New Roman" w:hAnsi="Times New Roman"/>
                <w:color w:val="000000" w:themeColor="text1"/>
                <w:sz w:val="24"/>
                <w:szCs w:val="24"/>
              </w:rPr>
            </w:pPr>
          </w:p>
        </w:tc>
        <w:tc>
          <w:tcPr>
            <w:tcW w:w="4050" w:type="dxa"/>
          </w:tcPr>
          <w:p w14:paraId="7847784D" w14:textId="0C73C54A" w:rsidR="00C25D98" w:rsidRPr="00D13A88" w:rsidRDefault="00C25D98" w:rsidP="00911A11">
            <w:pPr>
              <w:spacing w:before="120" w:after="120"/>
              <w:ind w:firstLine="567"/>
              <w:jc w:val="both"/>
              <w:rPr>
                <w:rFonts w:ascii="Times New Roman" w:hAnsi="Times New Roman"/>
                <w:i/>
                <w:iCs/>
                <w:color w:val="000000" w:themeColor="text1"/>
                <w:spacing w:val="-2"/>
                <w:sz w:val="24"/>
                <w:szCs w:val="24"/>
                <w:shd w:val="clear" w:color="auto" w:fill="FFFFFF"/>
              </w:rPr>
            </w:pPr>
            <w:r w:rsidRPr="00D13A88">
              <w:rPr>
                <w:rFonts w:ascii="Times New Roman" w:hAnsi="Times New Roman"/>
                <w:color w:val="000000" w:themeColor="text1"/>
                <w:sz w:val="24"/>
                <w:szCs w:val="24"/>
              </w:rPr>
              <w:t>Về tính hợp hiến: các nghĩa vụ thuế và trách nhiệm pháp lý phải do luật hoặc văn bản được luật giao thẩm quyền rõ ràng quy định; HĐND Thành phố không nên quy định theo hướng miễn trừ chung trách nhiệm hình sự, hành chính, dân sự, kỷ luật hoặc trách nhiệm bồi thường.</w:t>
            </w:r>
          </w:p>
        </w:tc>
        <w:tc>
          <w:tcPr>
            <w:tcW w:w="6791" w:type="dxa"/>
          </w:tcPr>
          <w:p w14:paraId="50645D75" w14:textId="1EAE0BF8" w:rsidR="00C25D98" w:rsidRPr="00D13A88" w:rsidRDefault="00C25D98" w:rsidP="00264CE9">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 MỘT PHẦN</w:t>
            </w:r>
            <w:r w:rsidRPr="00D13A88">
              <w:rPr>
                <w:rFonts w:ascii="Times New Roman" w:hAnsi="Times New Roman"/>
                <w:color w:val="000000" w:themeColor="text1"/>
                <w:sz w:val="24"/>
                <w:szCs w:val="24"/>
              </w:rPr>
              <w:t xml:space="preserve">. Nội dung miễn thuế thu nhập doanh nghiệp, miễn thuế thu nhập cá nhân đã được lược bỏ khỏi phạm vi Nghị quyết này trong quá trình xây dựng dự thảo (do thuộc nội dung điều khoản khác của Luật Phát triển đô thị, không thuộc điểm a khoản 2 Điều </w:t>
            </w:r>
            <w:r w:rsidR="00FF5B52">
              <w:rPr>
                <w:rFonts w:ascii="Times New Roman" w:hAnsi="Times New Roman"/>
                <w:color w:val="000000" w:themeColor="text1"/>
                <w:sz w:val="24"/>
                <w:szCs w:val="24"/>
              </w:rPr>
              <w:t>30</w:t>
            </w:r>
            <w:r w:rsidRPr="00D13A88">
              <w:rPr>
                <w:rFonts w:ascii="Times New Roman" w:hAnsi="Times New Roman"/>
                <w:color w:val="000000" w:themeColor="text1"/>
                <w:sz w:val="24"/>
                <w:szCs w:val="24"/>
              </w:rPr>
              <w:t xml:space="preserve"> được giao cho Nghị quyết này).</w:t>
            </w:r>
          </w:p>
          <w:p w14:paraId="68DF0EEB" w14:textId="58154E44" w:rsidR="00C25D98" w:rsidRPr="00D13A88" w:rsidRDefault="00C25D98" w:rsidP="00264CE9">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 xml:space="preserve">Riêng cụm từ “loại trừ trách nhiệm pháp lý” tại khoản 7 điểm b Điều 4 vẫn cần được rà soát, làm rõ chỉ giới hạn ở việc miễn, giảm nghĩa vụ hoàn trả kinh phí, giá trị ưu đãi đã cấp (không mở rộng sang miễn trừ trách nhiệm hình sự, hành chính, dân sự khác), phù hợp nguyên tắc chấp nhận rủi ro tại Điều 9 Luật số 93/2025/QH15. Bộ </w:t>
            </w:r>
            <w:r w:rsidRPr="00D13A88">
              <w:rPr>
                <w:rFonts w:ascii="Times New Roman" w:hAnsi="Times New Roman"/>
                <w:color w:val="000000" w:themeColor="text1"/>
                <w:sz w:val="24"/>
                <w:szCs w:val="24"/>
              </w:rPr>
              <w:lastRenderedPageBreak/>
              <w:t>phận soạn thảo tiếp tục hiệu chỉnh câu chữ khoản 7 điểm b Điều 4 theo hướng nêu trên trước khi trình.</w:t>
            </w:r>
          </w:p>
        </w:tc>
      </w:tr>
      <w:tr w:rsidR="00D13A88" w:rsidRPr="00D13A88" w14:paraId="64C2D3BE" w14:textId="77777777" w:rsidTr="000123C5">
        <w:tc>
          <w:tcPr>
            <w:tcW w:w="2047" w:type="dxa"/>
          </w:tcPr>
          <w:p w14:paraId="4CEBB88E" w14:textId="21420089" w:rsidR="00C25D98" w:rsidRPr="00D13A88" w:rsidRDefault="00C25D98" w:rsidP="00911A11">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lastRenderedPageBreak/>
              <w:t>Điều ước quốc tế, cam kết WTO/FTA (không có Điều, khoản tương ứng cụ thể)</w:t>
            </w:r>
          </w:p>
        </w:tc>
        <w:tc>
          <w:tcPr>
            <w:tcW w:w="1530" w:type="dxa"/>
            <w:vMerge/>
          </w:tcPr>
          <w:p w14:paraId="0A13F9CE" w14:textId="64ED57FF" w:rsidR="00C25D98" w:rsidRPr="00D13A88" w:rsidRDefault="00C25D98" w:rsidP="00911A11">
            <w:pPr>
              <w:rPr>
                <w:rFonts w:ascii="Times New Roman" w:hAnsi="Times New Roman"/>
                <w:color w:val="000000" w:themeColor="text1"/>
                <w:sz w:val="24"/>
                <w:szCs w:val="24"/>
              </w:rPr>
            </w:pPr>
          </w:p>
        </w:tc>
        <w:tc>
          <w:tcPr>
            <w:tcW w:w="4050" w:type="dxa"/>
          </w:tcPr>
          <w:p w14:paraId="3B62FBA0" w14:textId="3B77B4AA" w:rsidR="00C25D98" w:rsidRPr="00D13A88" w:rsidRDefault="00C25D98" w:rsidP="00911A11">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Tiêu chí hưởng ưu đãi không nên gắn với thành tích xuất khẩu (trợ cấp xuất khẩu bị cấm theo Hiệp định SCM); yêu cầu tỷ lệ nội địa hóa bắt buộc có thể vi phạm Hiệp định TRIMS, Điều III.1 GATT và các FTA (CPTPP, EVFTA).</w:t>
            </w:r>
          </w:p>
        </w:tc>
        <w:tc>
          <w:tcPr>
            <w:tcW w:w="6791" w:type="dxa"/>
          </w:tcPr>
          <w:p w14:paraId="5F5BEDE8" w14:textId="7A5AA71C" w:rsidR="00C25D98" w:rsidRPr="00D13A88" w:rsidRDefault="00C25D98" w:rsidP="00911A11">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GIẢI TRÌNH</w:t>
            </w:r>
            <w:r w:rsidRPr="00D13A88">
              <w:rPr>
                <w:rFonts w:ascii="Times New Roman" w:hAnsi="Times New Roman"/>
                <w:color w:val="000000" w:themeColor="text1"/>
                <w:sz w:val="24"/>
                <w:szCs w:val="24"/>
              </w:rPr>
              <w:t>. Rà soát toàn bộ dự thảo Nghị quyết hiện hành (Điều 1 đến Điều 18) xác nhận không có bất kỳ điều kiện hưởng ưu đãi nào gắn với thành tích xuất khẩu hoặc yêu cầu tỷ lệ nội địa hóa bắt buộc. Tiêu chí hưởng ưu đãi tại Điều 11 chỉ dựa trên tư cách pháp nhân, nghĩa vụ thuế tại Thành phố, năng lực tài chính và năng lực quản lý, vận hành — không có yếu tố liên quan thương mại quốc tế. Ghi nhận ý kiến để tiếp tục lưu ý khi UBND Thành phố quy định chi tiết tại Điều 12, bảo đảm không phát sinh tiêu chí trái cam kết quốc tế.</w:t>
            </w:r>
          </w:p>
        </w:tc>
      </w:tr>
      <w:tr w:rsidR="00D13A88" w:rsidRPr="00D13A88" w14:paraId="089DAFEB" w14:textId="77777777" w:rsidTr="000123C5">
        <w:tc>
          <w:tcPr>
            <w:tcW w:w="2047" w:type="dxa"/>
          </w:tcPr>
          <w:p w14:paraId="3753E2F0" w14:textId="24729141" w:rsidR="00C25D98" w:rsidRPr="00D13A88" w:rsidRDefault="00C25D98" w:rsidP="00911A11">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Khoản 2 Điều 6</w:t>
            </w:r>
          </w:p>
        </w:tc>
        <w:tc>
          <w:tcPr>
            <w:tcW w:w="1530" w:type="dxa"/>
            <w:vMerge/>
          </w:tcPr>
          <w:p w14:paraId="2835CF61" w14:textId="2791C9AE" w:rsidR="00C25D98" w:rsidRPr="00D13A88" w:rsidRDefault="00C25D98" w:rsidP="00911A11">
            <w:pPr>
              <w:rPr>
                <w:rFonts w:ascii="Times New Roman" w:hAnsi="Times New Roman"/>
                <w:color w:val="000000" w:themeColor="text1"/>
                <w:sz w:val="24"/>
                <w:szCs w:val="24"/>
              </w:rPr>
            </w:pPr>
          </w:p>
        </w:tc>
        <w:tc>
          <w:tcPr>
            <w:tcW w:w="4050" w:type="dxa"/>
          </w:tcPr>
          <w:p w14:paraId="33618CF0" w14:textId="45C8B3DA" w:rsidR="00C25D98" w:rsidRPr="00D13A88" w:rsidRDefault="00C25D98" w:rsidP="000727C7">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Cơ chế “đồng đầu tư” cần xác định rõ được thực hiện theo hình thức đầu tư công, PPP, hỗ trợ nhiệm vụ khoa học và công nghệ hay góp vốn. Không nên giao UBND Thành phố tự quyết định mức ngân sách tham gia mà không có giới hạn tối đa và nguyên tắc lựa chọn đối tác.</w:t>
            </w:r>
          </w:p>
        </w:tc>
        <w:tc>
          <w:tcPr>
            <w:tcW w:w="6791" w:type="dxa"/>
          </w:tcPr>
          <w:p w14:paraId="40689EB7" w14:textId="523166F8" w:rsidR="00C25D98" w:rsidRPr="00D13A88" w:rsidRDefault="00C25D98" w:rsidP="000727C7">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w:t>
            </w:r>
            <w:r w:rsidRPr="00D13A88">
              <w:rPr>
                <w:rFonts w:ascii="Times New Roman" w:hAnsi="Times New Roman"/>
                <w:color w:val="000000" w:themeColor="text1"/>
                <w:sz w:val="24"/>
                <w:szCs w:val="24"/>
              </w:rPr>
              <w:t>. Dự thảo hiện hành (khoản 2 Điều 6) đã quy định rõ hình thức thực hiện là “cơ chế hỗ trợ không hoàn lại” kết hợp “cơ chế nhiệm vụ đổi mới sáng tạo theo hình thức tài trợ”" quy định tại khoản 2 Điều 3 Nghị định số 268/2025/NĐ-CP (không phải PPP hay góp vốn); đồng thời Hội đồng nhân dân Thành phố đã trực tiếp quy định mức trần tối đa 50% chi phí đầu tư (điểm a khoản 2 Điều 6), không giao UBND Thành phố tự quyết định mức không giới hạn. Nguyên tắc lựa chọn đối tác được cụ thể hóa qua tiêu chí xét duyệt tại khoản 2 Điều 11.</w:t>
            </w:r>
          </w:p>
        </w:tc>
      </w:tr>
      <w:tr w:rsidR="00D13A88" w:rsidRPr="00D13A88" w14:paraId="5A1242E8" w14:textId="77777777" w:rsidTr="000123C5">
        <w:tc>
          <w:tcPr>
            <w:tcW w:w="2047" w:type="dxa"/>
          </w:tcPr>
          <w:p w14:paraId="21A87F89" w14:textId="099D9726" w:rsidR="00C25D98" w:rsidRPr="00D13A88" w:rsidRDefault="00C25D98" w:rsidP="00911A11">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Khoản 10 Điều 4; điểm c khoản 2 Điều 6</w:t>
            </w:r>
          </w:p>
        </w:tc>
        <w:tc>
          <w:tcPr>
            <w:tcW w:w="1530" w:type="dxa"/>
            <w:vMerge/>
          </w:tcPr>
          <w:p w14:paraId="58317EC3" w14:textId="37AC7353" w:rsidR="00C25D98" w:rsidRPr="00D13A88" w:rsidRDefault="00C25D98" w:rsidP="00911A11">
            <w:pPr>
              <w:rPr>
                <w:rFonts w:ascii="Times New Roman" w:hAnsi="Times New Roman"/>
                <w:color w:val="000000" w:themeColor="text1"/>
                <w:sz w:val="24"/>
                <w:szCs w:val="24"/>
              </w:rPr>
            </w:pPr>
          </w:p>
        </w:tc>
        <w:tc>
          <w:tcPr>
            <w:tcW w:w="4050" w:type="dxa"/>
          </w:tcPr>
          <w:p w14:paraId="7DD8F06D" w14:textId="3C6D7FA3" w:rsidR="00C25D98" w:rsidRPr="00D13A88" w:rsidRDefault="00C25D98" w:rsidP="00911A11">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Quy định tài sản hình thành từ kinh phí hỗ trợ mặc nhiên thuộc sở hữu của tổ chức được hỗ trợ cần sửa đổi, phân biệt tài sản do ngân sách đầu tư toàn bộ, tài sản đồng đầu tư, tài sản dùng chung và tài sản được hỗ trợ một phần.</w:t>
            </w:r>
          </w:p>
        </w:tc>
        <w:tc>
          <w:tcPr>
            <w:tcW w:w="6791" w:type="dxa"/>
          </w:tcPr>
          <w:p w14:paraId="068C93E4" w14:textId="4FC65992" w:rsidR="00C25D98" w:rsidRPr="00D13A88" w:rsidRDefault="00C25D98" w:rsidP="00911A11">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w:t>
            </w:r>
            <w:r w:rsidRPr="00D13A88">
              <w:rPr>
                <w:rFonts w:ascii="Times New Roman" w:hAnsi="Times New Roman"/>
                <w:color w:val="000000" w:themeColor="text1"/>
                <w:sz w:val="24"/>
                <w:szCs w:val="24"/>
              </w:rPr>
              <w:t>. Dự thảo hiện hành đã bổ sung quy định phân biệt: khoản 10 Điều 4 quy định nguyên tắc chung (tài sản thuộc sở hữu tổ chức được hỗ trợ, trừ trường hợp pháp luật có quy định khác); điểm c khoản 2 Điều 6 quy định riêng cho trường hợp đồng đầu tư — quyền sở hữu, khai thác được xác định theo tỷ lệ đóng góp kinh phí, Nhà nước được quyền sử dụng miễn phí, không độc quyền khi cần phục vụ mục đích công vụ; khoản 3 Điều 6 và Điều 10 quy định riêng đối với hạ tầng dùng chung Nhóm 3 (do ngân sách Thành phố đầu tư toàn bộ, thuộc sở hữu nhà nước, tổ chức chỉ được quyền thuê/sử dụng theo ưu đãi).</w:t>
            </w:r>
          </w:p>
        </w:tc>
      </w:tr>
      <w:tr w:rsidR="00D13A88" w:rsidRPr="00D13A88" w14:paraId="5DC75553" w14:textId="77777777" w:rsidTr="000123C5">
        <w:tc>
          <w:tcPr>
            <w:tcW w:w="2047" w:type="dxa"/>
          </w:tcPr>
          <w:p w14:paraId="5990EC8C" w14:textId="432145F8" w:rsidR="00C25D98" w:rsidRPr="00D13A88" w:rsidRDefault="00C25D98" w:rsidP="00911A11">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lastRenderedPageBreak/>
              <w:t>Tổng thể dự thảo — so sánh với Luật Thủ đô</w:t>
            </w:r>
          </w:p>
        </w:tc>
        <w:tc>
          <w:tcPr>
            <w:tcW w:w="1530" w:type="dxa"/>
            <w:vMerge/>
          </w:tcPr>
          <w:p w14:paraId="27CFA1C9" w14:textId="6783D235" w:rsidR="00C25D98" w:rsidRPr="00D13A88" w:rsidRDefault="00C25D98" w:rsidP="00911A11">
            <w:pPr>
              <w:rPr>
                <w:rFonts w:ascii="Times New Roman" w:hAnsi="Times New Roman"/>
                <w:color w:val="000000" w:themeColor="text1"/>
                <w:sz w:val="24"/>
                <w:szCs w:val="24"/>
              </w:rPr>
            </w:pPr>
          </w:p>
        </w:tc>
        <w:tc>
          <w:tcPr>
            <w:tcW w:w="4050" w:type="dxa"/>
          </w:tcPr>
          <w:p w14:paraId="637E5736" w14:textId="25DB8928" w:rsidR="00C25D98" w:rsidRPr="00D13A88" w:rsidRDefault="00C25D98" w:rsidP="00911A11">
            <w:pPr>
              <w:spacing w:before="120" w:after="120"/>
              <w:ind w:firstLine="34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Cần bảo đảm sự tương đồng không chỉ về mức ưu đãi mà còn về điều kiện, phạm vi và căn cứ thẩm quyền so với Luật Thủ đô; hồ sơ chính sách cần chứng minh nhu cầu, chi phí ngân sách, lợi ích dự kiến và khả năng ngăn chặn việc thành lập hoặc chuyển địa điểm hoạt động mang tính hình thức chỉ để hưởng ưu đãi.</w:t>
            </w:r>
          </w:p>
        </w:tc>
        <w:tc>
          <w:tcPr>
            <w:tcW w:w="6791" w:type="dxa"/>
          </w:tcPr>
          <w:p w14:paraId="00E49F7E" w14:textId="71AB96FD" w:rsidR="00C25D98" w:rsidRPr="00D13A88" w:rsidRDefault="00C25D98" w:rsidP="00911A11">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 MỘT PHẦN</w:t>
            </w:r>
            <w:r w:rsidRPr="00D13A88">
              <w:rPr>
                <w:rFonts w:ascii="Times New Roman" w:hAnsi="Times New Roman"/>
                <w:color w:val="000000" w:themeColor="text1"/>
                <w:sz w:val="24"/>
                <w:szCs w:val="24"/>
              </w:rPr>
              <w:t>. Điểm a khoản 2 Điều 11 đã quy định điều kiện tổ chức phải có trụ sở chính hoặc chi nhánh trên địa bàn Thành phố, phát sinh nghĩa vụ kê khai và nộp thuế thực tế tại Thành phố — là một biện pháp hạn chế tình trạng thành lập hình thức. Nội dung đánh giá tác động về nhu cầu, chi phí ngân sách, lợi ích dự kiến đã được thể hiện tại Báo cáo đánh giá tác động chính sách kèm hồ sơ trình. Ghi nhận ý kiến góp ý để thực hiện điều chỉnh khi xây dựng Quyết định của UBND Thành phố quy định chi tiết Nghị quyết này.</w:t>
            </w:r>
          </w:p>
        </w:tc>
      </w:tr>
      <w:tr w:rsidR="00D13A88" w:rsidRPr="00D13A88" w14:paraId="792B78A9" w14:textId="77777777" w:rsidTr="000123C5">
        <w:tc>
          <w:tcPr>
            <w:tcW w:w="2047" w:type="dxa"/>
          </w:tcPr>
          <w:p w14:paraId="0CE1C4D7" w14:textId="13C0DEB6" w:rsidR="00C25D98" w:rsidRPr="00D13A88" w:rsidRDefault="00C25D98" w:rsidP="00911A11">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lastRenderedPageBreak/>
              <w:t>Khoản 4 Điều 11</w:t>
            </w:r>
          </w:p>
        </w:tc>
        <w:tc>
          <w:tcPr>
            <w:tcW w:w="1530" w:type="dxa"/>
            <w:vMerge/>
          </w:tcPr>
          <w:p w14:paraId="4C4933F6" w14:textId="0F55C3F4" w:rsidR="00C25D98" w:rsidRPr="00D13A88" w:rsidRDefault="00C25D98" w:rsidP="00911A11">
            <w:pPr>
              <w:rPr>
                <w:rFonts w:ascii="Times New Roman" w:hAnsi="Times New Roman"/>
                <w:color w:val="000000" w:themeColor="text1"/>
                <w:sz w:val="24"/>
                <w:szCs w:val="24"/>
              </w:rPr>
            </w:pPr>
          </w:p>
        </w:tc>
        <w:tc>
          <w:tcPr>
            <w:tcW w:w="4050" w:type="dxa"/>
          </w:tcPr>
          <w:p w14:paraId="2F5B45A0" w14:textId="731837AD" w:rsidR="00C25D98" w:rsidRPr="00D13A88" w:rsidRDefault="00C25D98" w:rsidP="00911A11">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Tổng thời hạn giải quyết hồ sơ không quá 30 ngày làm việc, trong khi Hội đồng tư vấn có 20 ngày để thẩm định và được kéo dài thêm 10 ngày. Như vậy không còn thời gian cho cơ quan tiếp nhận, cơ quan tài chính, thuế và UBND Thành phố xem xét, quyết định.</w:t>
            </w:r>
          </w:p>
        </w:tc>
        <w:tc>
          <w:tcPr>
            <w:tcW w:w="6791" w:type="dxa"/>
          </w:tcPr>
          <w:p w14:paraId="5B8ADC1F" w14:textId="4EB955C2" w:rsidR="00C25D98" w:rsidRPr="00D13A88" w:rsidRDefault="00C25D98" w:rsidP="00C3278D">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GIẢI TRÌNH</w:t>
            </w:r>
            <w:r w:rsidRPr="00D13A88">
              <w:rPr>
                <w:rFonts w:ascii="Times New Roman" w:hAnsi="Times New Roman"/>
                <w:color w:val="000000" w:themeColor="text1"/>
                <w:sz w:val="24"/>
                <w:szCs w:val="24"/>
              </w:rPr>
              <w:t>. Mốc thời gian cụ thể “20 ngày thẩm định, kéo dài thêm 10 ngày” của Hội đồng tư vấn mà góp ý đề cập không còn xuất hiện trong dự thảo hiện hành; khoản 4 Điều 11 chỉ quy định tổng thời hạn không quá 30 ngày làm việc, còn việc phân bổ thời hạn cụ thể cho từng bước được giao UBND Thành phố quy định chi tiết tại khoản 2 Điều 12. Ý kiến về nguy cơ thiếu thời gian thực hiện vẫn xác đáng và cần thiết, ghi nhận ý kiến góp ý để thực hiện điều chỉnh khi xây dựng Quyết định của UBND ThànZh phố, phân bổ hợp lý các mốc thời gian thành phần trong tổng thời hạn 30 ngày khi ban hành văn bản quy định chi tiết.</w:t>
            </w:r>
          </w:p>
        </w:tc>
      </w:tr>
      <w:tr w:rsidR="00D13A88" w:rsidRPr="00D13A88" w14:paraId="20634AD2" w14:textId="77777777" w:rsidTr="000123C5">
        <w:tc>
          <w:tcPr>
            <w:tcW w:w="2047" w:type="dxa"/>
          </w:tcPr>
          <w:p w14:paraId="3447B1E5" w14:textId="1C3A21D9" w:rsidR="00C25D98" w:rsidRPr="00D13A88" w:rsidRDefault="00C25D98" w:rsidP="00911A11">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Ưu đãi miễn, giảm tiền thuê đất (không còn Điều, khoản tương ứng)</w:t>
            </w:r>
          </w:p>
        </w:tc>
        <w:tc>
          <w:tcPr>
            <w:tcW w:w="1530" w:type="dxa"/>
            <w:vMerge/>
          </w:tcPr>
          <w:p w14:paraId="3D806ED1" w14:textId="4FE9BABA" w:rsidR="00C25D98" w:rsidRPr="00D13A88" w:rsidRDefault="00C25D98" w:rsidP="00911A11">
            <w:pPr>
              <w:rPr>
                <w:rFonts w:ascii="Times New Roman" w:hAnsi="Times New Roman"/>
                <w:color w:val="000000" w:themeColor="text1"/>
                <w:sz w:val="24"/>
                <w:szCs w:val="24"/>
              </w:rPr>
            </w:pPr>
          </w:p>
        </w:tc>
        <w:tc>
          <w:tcPr>
            <w:tcW w:w="4050" w:type="dxa"/>
          </w:tcPr>
          <w:p w14:paraId="03280C7D" w14:textId="6685EA76" w:rsidR="00C25D98" w:rsidRPr="00D13A88" w:rsidRDefault="00C25D98" w:rsidP="00911A11">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Dự án chỉ phải cam kết duy trì hoạt động tối thiểu 5 năm nhưng lại được miễn tiền thuê đất 10 năm và giảm 50% trong thời gian còn lại. Cần kéo dài thời gian cam kết hoặc quy định nghĩa vụ hoàn trả tương ứng nếu dự án chấm dứt trước hạn.</w:t>
            </w:r>
          </w:p>
        </w:tc>
        <w:tc>
          <w:tcPr>
            <w:tcW w:w="6791" w:type="dxa"/>
          </w:tcPr>
          <w:p w14:paraId="3273D29B" w14:textId="3E045488" w:rsidR="00C25D98" w:rsidRPr="00D13A88" w:rsidRDefault="00C25D98" w:rsidP="00FF5B52">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ĐÃ ĐIỀU CHỈNH LƯỢC BỎ</w:t>
            </w:r>
            <w:r w:rsidRPr="00D13A88">
              <w:rPr>
                <w:rFonts w:ascii="Times New Roman" w:hAnsi="Times New Roman"/>
                <w:color w:val="000000" w:themeColor="text1"/>
                <w:sz w:val="24"/>
                <w:szCs w:val="24"/>
              </w:rPr>
              <w:t xml:space="preserve">. Toàn bộ nội dung ưu đãi miễn, giảm tiền thuê đất, thuê mặt nước đã được lược bỏ khỏi phạm vi Nghị quyết này trong quá trình xây dựng dự thảo (không thuộc điểm a khoản 2 Điều </w:t>
            </w:r>
            <w:r w:rsidR="00FF5B52">
              <w:rPr>
                <w:rFonts w:ascii="Times New Roman" w:hAnsi="Times New Roman"/>
                <w:color w:val="000000" w:themeColor="text1"/>
                <w:sz w:val="24"/>
                <w:szCs w:val="24"/>
              </w:rPr>
              <w:t>30</w:t>
            </w:r>
            <w:r w:rsidRPr="00D13A88">
              <w:rPr>
                <w:rFonts w:ascii="Times New Roman" w:hAnsi="Times New Roman"/>
                <w:color w:val="000000" w:themeColor="text1"/>
                <w:sz w:val="24"/>
                <w:szCs w:val="24"/>
              </w:rPr>
              <w:t xml:space="preserve"> Luật Phát triển đô thị được giao cho Nghị quyết; nội dung đất đai do phòng chuyên môn khác xây dựng theo điều khoản riêng của Luật). Cam kết duy trì hoạt động tối thiểu 05 năm tại điểm c khoản 1 Điều 11 hiện là điều kiện độc lập, không còn gắn với ưu đãi thuê đất nên không phát sinh mâu thuẫn về thời hạn như góp ý đã nêu.</w:t>
            </w:r>
          </w:p>
        </w:tc>
      </w:tr>
      <w:tr w:rsidR="00D13A88" w:rsidRPr="00D13A88" w14:paraId="56F54F47" w14:textId="77777777" w:rsidTr="000123C5">
        <w:tc>
          <w:tcPr>
            <w:tcW w:w="2047" w:type="dxa"/>
          </w:tcPr>
          <w:p w14:paraId="673EEB2C" w14:textId="1BEF40AB" w:rsidR="00C25D98" w:rsidRPr="00D13A88" w:rsidRDefault="00C25D98" w:rsidP="00911A11">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lastRenderedPageBreak/>
              <w:t>Điểm a khoản 3 Điều 11; khoản 4 Phụ lục 01</w:t>
            </w:r>
          </w:p>
        </w:tc>
        <w:tc>
          <w:tcPr>
            <w:tcW w:w="1530" w:type="dxa"/>
            <w:vMerge/>
          </w:tcPr>
          <w:p w14:paraId="73D0F72F" w14:textId="68FD316B" w:rsidR="00C25D98" w:rsidRPr="00D13A88" w:rsidRDefault="00C25D98" w:rsidP="00911A11">
            <w:pPr>
              <w:rPr>
                <w:rFonts w:ascii="Times New Roman" w:hAnsi="Times New Roman"/>
                <w:color w:val="000000" w:themeColor="text1"/>
                <w:sz w:val="24"/>
                <w:szCs w:val="24"/>
              </w:rPr>
            </w:pPr>
          </w:p>
        </w:tc>
        <w:tc>
          <w:tcPr>
            <w:tcW w:w="4050" w:type="dxa"/>
          </w:tcPr>
          <w:p w14:paraId="32A7BE1C" w14:textId="7D43DAAB" w:rsidR="00C25D98" w:rsidRPr="00D13A88" w:rsidRDefault="00C25D98" w:rsidP="00911A11">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Tiêu chí khai thác tối thiểu 60% công suất chưa phù hợp với mọi loại hạ tầng, đặc biệt là phòng thí nghiệm chuyên sâu, trung tâm dữ liệu dự phòng hoặc thiết bị nghiên cứu đặc thù. Cần xây dựng tiêu chí riêng cho từng loại hạ tầng và từng giai đoạn vận hành.</w:t>
            </w:r>
          </w:p>
        </w:tc>
        <w:tc>
          <w:tcPr>
            <w:tcW w:w="6791" w:type="dxa"/>
          </w:tcPr>
          <w:p w14:paraId="683511B6" w14:textId="1A0BE988" w:rsidR="00C25D98" w:rsidRPr="00D13A88" w:rsidRDefault="00C25D98" w:rsidP="00911A11">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 MỘT PHẦN</w:t>
            </w:r>
            <w:r w:rsidRPr="00D13A88">
              <w:rPr>
                <w:rFonts w:ascii="Times New Roman" w:hAnsi="Times New Roman"/>
                <w:color w:val="000000" w:themeColor="text1"/>
                <w:sz w:val="24"/>
                <w:szCs w:val="24"/>
              </w:rPr>
              <w:t>. Dự thảo hiện hành đã bổ sung độ linh hoạt: điểm a khoản 3 Điều 11 cho phép áp dụng “hoặc theo lộ trình tăng trưởng đã được phê duyệt” thay vì áp cứng 60%; khoản 4 Phụ lục 01 cho phép thời gian 02 năm kể từ khi đưa vào vận hành để đạt hiệu suất. Tuy nhiên, dự thảo Nghị quyết chưa xây dựng tiêu chí riêng biệt theo từng loại hạ tầng đặc thù (phòng thí nghiệm chuyên sâu, trung tâm dữ liệu dự phòng...); nội dung này thuộc “tiêu chí kỹ thuật cụ thể” đã giao UBND Thành phố quy định chi tiết tại khoản 1 Điều 12, ghi nhận ý kiến góp ý để thực hiện điều chỉnh khi xây dựng Quyết định UBND Thành phố phân hóa theo loại hạ tầng khi ban hành văn bản hướng dẫn.</w:t>
            </w:r>
          </w:p>
        </w:tc>
      </w:tr>
      <w:tr w:rsidR="00D13A88" w:rsidRPr="00D13A88" w14:paraId="242F5B2F" w14:textId="77777777" w:rsidTr="000123C5">
        <w:tc>
          <w:tcPr>
            <w:tcW w:w="2047" w:type="dxa"/>
          </w:tcPr>
          <w:p w14:paraId="41BCD1C8" w14:textId="47C9E288" w:rsidR="00C25D98" w:rsidRPr="00D13A88" w:rsidRDefault="00C25D98" w:rsidP="00911A11">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lastRenderedPageBreak/>
              <w:t>Điều 14; khoản 1 Điều 13; khoản 2 Điều 15</w:t>
            </w:r>
          </w:p>
        </w:tc>
        <w:tc>
          <w:tcPr>
            <w:tcW w:w="1530" w:type="dxa"/>
            <w:vMerge/>
          </w:tcPr>
          <w:p w14:paraId="03C8B768" w14:textId="46395A12" w:rsidR="00C25D98" w:rsidRPr="00D13A88" w:rsidRDefault="00C25D98" w:rsidP="00911A11">
            <w:pPr>
              <w:rPr>
                <w:rFonts w:ascii="Times New Roman" w:hAnsi="Times New Roman"/>
                <w:color w:val="000000" w:themeColor="text1"/>
                <w:sz w:val="24"/>
                <w:szCs w:val="24"/>
              </w:rPr>
            </w:pPr>
          </w:p>
        </w:tc>
        <w:tc>
          <w:tcPr>
            <w:tcW w:w="4050" w:type="dxa"/>
          </w:tcPr>
          <w:p w14:paraId="4630CAC7" w14:textId="6A3EDAF7" w:rsidR="00C25D98" w:rsidRPr="00D13A88" w:rsidRDefault="00C25D98" w:rsidP="00911A11">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Hội đồng tư vấn vừa thẩm định hồ sơ, tham gia giám sát, vừa xác nhận nguyên nhân khách quan để miễn, giảm hoàn trả, có thể dẫn đến chồng chéo và thiếu khách quan. Hội đồng chỉ nên có chức năng tư vấn; quyết định cuối cùng cần thuộc cơ quan nhà nước có thẩm quyền và có ý kiến của cơ quan tài chính, pháp chế.</w:t>
            </w:r>
          </w:p>
        </w:tc>
        <w:tc>
          <w:tcPr>
            <w:tcW w:w="6791" w:type="dxa"/>
          </w:tcPr>
          <w:p w14:paraId="58DFFE65" w14:textId="53619D71" w:rsidR="00C25D98" w:rsidRPr="00D13A88" w:rsidRDefault="00C25D98" w:rsidP="000727C7">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 MỘT PHẦN</w:t>
            </w:r>
            <w:r w:rsidRPr="00D13A88">
              <w:rPr>
                <w:rFonts w:ascii="Times New Roman" w:hAnsi="Times New Roman"/>
                <w:color w:val="000000" w:themeColor="text1"/>
                <w:sz w:val="24"/>
                <w:szCs w:val="24"/>
              </w:rPr>
              <w:t>. Dự thảo hiện hành đã bảo đảm quyết định cuối cùng thuộc thẩm quyền UBND Thành phố (khoản 1 Điều 13: Quyết định phê duyệt do UBND Thành phố ban hành “trên cơ sở kết luận” của Hội đồng tư vấn; khoản 2 Điều 15: UBND Thành phố quyết định dừng hỗ trợ, thu hồi kinh phí trên cơ sở kết quả kiểm tra và ý kiến Hội đồng tư vấn) — Hội đồng tư vấn chỉ đóng vai trò tư vấn, không tự quyết định. Tuy nhiên, Hội đồng tư vấn vẫn đồng thời đảm nhận cả ba chức năng thẩm định, giám sát và xác nhận nguyên nhân khách quan (khoản 1 Điều 14). Ghi nhận ý kiến góp ý để thực hiện điều chỉnh khi xây dựng Quyết định UBND Thành phố quy định chi tiết thành phần Hội đồng tư vấn (khoản 4 Điều 12) bảo đảm có đại diện cơ quan tài chính, pháp chế tham gia nhằm tăng tính khách quan.</w:t>
            </w:r>
          </w:p>
        </w:tc>
      </w:tr>
      <w:tr w:rsidR="00D13A88" w:rsidRPr="00D13A88" w14:paraId="6A8D743B" w14:textId="77777777" w:rsidTr="000123C5">
        <w:tc>
          <w:tcPr>
            <w:tcW w:w="2047" w:type="dxa"/>
          </w:tcPr>
          <w:p w14:paraId="0804597F" w14:textId="4FB0F172" w:rsidR="00C25D98" w:rsidRPr="00D13A88" w:rsidRDefault="00C25D98" w:rsidP="00911A11">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Khoản 3 Điều 16; khoản 3 Điều 6</w:t>
            </w:r>
          </w:p>
        </w:tc>
        <w:tc>
          <w:tcPr>
            <w:tcW w:w="1530" w:type="dxa"/>
            <w:vMerge/>
          </w:tcPr>
          <w:p w14:paraId="29EA0FB7" w14:textId="581731D1" w:rsidR="00C25D98" w:rsidRPr="00D13A88" w:rsidRDefault="00C25D98" w:rsidP="00911A11">
            <w:pPr>
              <w:rPr>
                <w:rFonts w:ascii="Times New Roman" w:hAnsi="Times New Roman"/>
                <w:color w:val="000000" w:themeColor="text1"/>
                <w:sz w:val="24"/>
                <w:szCs w:val="24"/>
              </w:rPr>
            </w:pPr>
          </w:p>
        </w:tc>
        <w:tc>
          <w:tcPr>
            <w:tcW w:w="4050" w:type="dxa"/>
          </w:tcPr>
          <w:p w14:paraId="1369AA43" w14:textId="69C635B9" w:rsidR="00C25D98" w:rsidRPr="00D13A88" w:rsidRDefault="00C25D98" w:rsidP="00911A11">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Không nên quy định toàn bộ kinh phí thực hiện đều được cấp qua Quỹ Phát triển khoa học và công nghệ Thành phố, vì các khoản đầu tư công, đồng đầu tư, ưu đãi thuế và miễn, giảm tiền thuê đất có cơ chế quản lý riêng.</w:t>
            </w:r>
          </w:p>
        </w:tc>
        <w:tc>
          <w:tcPr>
            <w:tcW w:w="6791" w:type="dxa"/>
          </w:tcPr>
          <w:p w14:paraId="57B58A74" w14:textId="162EDF55" w:rsidR="00C25D98" w:rsidRPr="00D13A88" w:rsidRDefault="00C25D98" w:rsidP="000727C7">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 MỘT PHẦN</w:t>
            </w:r>
            <w:r w:rsidRPr="00D13A88">
              <w:rPr>
                <w:rFonts w:ascii="Times New Roman" w:hAnsi="Times New Roman"/>
                <w:color w:val="000000" w:themeColor="text1"/>
                <w:sz w:val="24"/>
                <w:szCs w:val="24"/>
              </w:rPr>
              <w:t xml:space="preserve">. Nội dung ưu đãi thuế và miễn, giảm tiền thuê đất đã lược bỏ khỏi phạm vi Nghị quyết này (nêu tại mục về đất đai ở trên) nên không còn liên quan trực tiếp. Riêng cơ chế “toàn bộ kinh phí hoạt động và kinh phí thực hiện... được cấp và giải ngân thông qua Quỹ...” tại khoản 3 Điều 16 cần tiếp tục rà soát tính thống nhất với khoản 3 Điều 6 (hạ tầng Nhóm 3 do UBND Thành phố trực </w:t>
            </w:r>
            <w:r w:rsidRPr="00D13A88">
              <w:rPr>
                <w:rFonts w:ascii="Times New Roman" w:hAnsi="Times New Roman"/>
                <w:color w:val="000000" w:themeColor="text1"/>
                <w:sz w:val="24"/>
                <w:szCs w:val="24"/>
              </w:rPr>
              <w:lastRenderedPageBreak/>
              <w:t>tiếp đầu tư bằng nguồn vốn đầu tư công, quản lý dự án theo pháp luật đầu tư công).</w:t>
            </w:r>
          </w:p>
        </w:tc>
      </w:tr>
      <w:tr w:rsidR="00D13A88" w:rsidRPr="00D13A88" w14:paraId="1D5A2026" w14:textId="77777777" w:rsidTr="000123C5">
        <w:tc>
          <w:tcPr>
            <w:tcW w:w="2047" w:type="dxa"/>
          </w:tcPr>
          <w:p w14:paraId="198E33AD" w14:textId="2590219B" w:rsidR="00C25D98" w:rsidRPr="00D13A88" w:rsidRDefault="00C25D98" w:rsidP="00911A11">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lastRenderedPageBreak/>
              <w:t>Kỹ thuật trình bày — số thứ tự Điều</w:t>
            </w:r>
          </w:p>
        </w:tc>
        <w:tc>
          <w:tcPr>
            <w:tcW w:w="1530" w:type="dxa"/>
            <w:vMerge/>
          </w:tcPr>
          <w:p w14:paraId="7F6141FF" w14:textId="5A47DE48" w:rsidR="00C25D98" w:rsidRPr="00D13A88" w:rsidRDefault="00C25D98" w:rsidP="00911A11">
            <w:pPr>
              <w:rPr>
                <w:rFonts w:ascii="Times New Roman" w:hAnsi="Times New Roman"/>
                <w:color w:val="000000" w:themeColor="text1"/>
                <w:sz w:val="24"/>
                <w:szCs w:val="24"/>
              </w:rPr>
            </w:pPr>
          </w:p>
        </w:tc>
        <w:tc>
          <w:tcPr>
            <w:tcW w:w="4050" w:type="dxa"/>
          </w:tcPr>
          <w:p w14:paraId="512DBEC9" w14:textId="4AFEDD8E" w:rsidR="00C25D98" w:rsidRPr="00D13A88" w:rsidRDefault="00C25D98" w:rsidP="000727C7">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Phần Nghị quyết có hai điều cùng được đánh số “Điều 2”; cần sửa điều khoản thi hành thành “Điều 3”.</w:t>
            </w:r>
          </w:p>
        </w:tc>
        <w:tc>
          <w:tcPr>
            <w:tcW w:w="6791" w:type="dxa"/>
          </w:tcPr>
          <w:p w14:paraId="62FCF544" w14:textId="0BB008C2" w:rsidR="00C25D98" w:rsidRPr="00D13A88" w:rsidRDefault="00C25D98" w:rsidP="00855107">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w:t>
            </w:r>
            <w:r w:rsidRPr="00D13A88">
              <w:rPr>
                <w:rFonts w:ascii="Times New Roman" w:hAnsi="Times New Roman"/>
                <w:color w:val="000000" w:themeColor="text1"/>
                <w:sz w:val="24"/>
                <w:szCs w:val="24"/>
              </w:rPr>
              <w:t xml:space="preserve">. </w:t>
            </w:r>
            <w:r w:rsidR="00855107" w:rsidRPr="00D13A88">
              <w:rPr>
                <w:rFonts w:ascii="Times New Roman" w:hAnsi="Times New Roman"/>
                <w:color w:val="000000" w:themeColor="text1"/>
                <w:sz w:val="24"/>
                <w:szCs w:val="24"/>
              </w:rPr>
              <w:t>Trong quá trình tiếp thu, chỉnh lý, Cơ quan soạn thảo đã điều chỉnh thể thức dự thảo Nghị quyết sang Mẫu số 17, Phụ lục III ban hành kèm theo Nghị định số 78/2025/NĐ-CP (được sửa đổi, bổ sung tại Nghị định số 187/2025/NĐ-CP ngày 01/7/2025 của Chính phủ) bảo đảm đúng thể thức, kỹ thuật trình bày văn bản quy phạm pháp luật.</w:t>
            </w:r>
          </w:p>
        </w:tc>
      </w:tr>
      <w:tr w:rsidR="00D13A88" w:rsidRPr="00D13A88" w14:paraId="00EB1B36" w14:textId="77777777" w:rsidTr="000123C5">
        <w:tc>
          <w:tcPr>
            <w:tcW w:w="2047" w:type="dxa"/>
          </w:tcPr>
          <w:p w14:paraId="1946264A" w14:textId="567F8DBB" w:rsidR="00C25D98" w:rsidRPr="00D13A88" w:rsidRDefault="00C25D98" w:rsidP="00911A11">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Kỹ thuật trình bày — chính tả căn cứ pháp lý</w:t>
            </w:r>
          </w:p>
        </w:tc>
        <w:tc>
          <w:tcPr>
            <w:tcW w:w="1530" w:type="dxa"/>
            <w:vMerge/>
          </w:tcPr>
          <w:p w14:paraId="3337948A" w14:textId="2D6A5666" w:rsidR="00C25D98" w:rsidRPr="00D13A88" w:rsidRDefault="00C25D98" w:rsidP="00911A11">
            <w:pPr>
              <w:rPr>
                <w:rFonts w:ascii="Times New Roman" w:hAnsi="Times New Roman"/>
                <w:color w:val="000000" w:themeColor="text1"/>
                <w:sz w:val="24"/>
                <w:szCs w:val="24"/>
              </w:rPr>
            </w:pPr>
          </w:p>
        </w:tc>
        <w:tc>
          <w:tcPr>
            <w:tcW w:w="4050" w:type="dxa"/>
          </w:tcPr>
          <w:p w14:paraId="764A39B0" w14:textId="3C31CF81" w:rsidR="00C25D98" w:rsidRPr="00D13A88" w:rsidRDefault="00C25D98" w:rsidP="000727C7">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Sửa “Luật Ban hành văn bản quy phạm phát luật” thành “Luật Ban hành văn bản quy phạm pháp luật”.</w:t>
            </w:r>
          </w:p>
        </w:tc>
        <w:tc>
          <w:tcPr>
            <w:tcW w:w="6791" w:type="dxa"/>
          </w:tcPr>
          <w:p w14:paraId="189400B0" w14:textId="0BE4305A" w:rsidR="00C25D98" w:rsidRPr="00D13A88" w:rsidRDefault="00C25D98" w:rsidP="000727C7">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w:t>
            </w:r>
            <w:r w:rsidRPr="00D13A88">
              <w:rPr>
                <w:rFonts w:ascii="Times New Roman" w:hAnsi="Times New Roman"/>
                <w:color w:val="000000" w:themeColor="text1"/>
                <w:sz w:val="24"/>
                <w:szCs w:val="24"/>
              </w:rPr>
              <w:t>. Đã rà soát, phần căn cứ pháp lý của dự thảo Nghị quyết hiện ghi đúng chính tả “Luật Ban hành văn bản quy phạm pháp luật số 64/2025/QH15 được sửa đổi, bổ sung bởi Luật số 87/2025/QH15”.</w:t>
            </w:r>
          </w:p>
        </w:tc>
      </w:tr>
      <w:tr w:rsidR="00D13A88" w:rsidRPr="00D13A88" w14:paraId="7A6C1C4C" w14:textId="77777777" w:rsidTr="000123C5">
        <w:tc>
          <w:tcPr>
            <w:tcW w:w="2047" w:type="dxa"/>
          </w:tcPr>
          <w:p w14:paraId="1C93EB6B" w14:textId="208692A9" w:rsidR="00C25D98" w:rsidRPr="00D13A88" w:rsidRDefault="00C25D98" w:rsidP="00911A11">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Hiệu lực thi hành (chưa có Điều tương ứng)</w:t>
            </w:r>
          </w:p>
        </w:tc>
        <w:tc>
          <w:tcPr>
            <w:tcW w:w="1530" w:type="dxa"/>
            <w:vMerge/>
          </w:tcPr>
          <w:p w14:paraId="71BB2157" w14:textId="465A1E0E" w:rsidR="00C25D98" w:rsidRPr="00D13A88" w:rsidRDefault="00C25D98" w:rsidP="00911A11">
            <w:pPr>
              <w:rPr>
                <w:rFonts w:ascii="Times New Roman" w:hAnsi="Times New Roman"/>
                <w:color w:val="000000" w:themeColor="text1"/>
                <w:sz w:val="24"/>
                <w:szCs w:val="24"/>
              </w:rPr>
            </w:pPr>
          </w:p>
        </w:tc>
        <w:tc>
          <w:tcPr>
            <w:tcW w:w="4050" w:type="dxa"/>
          </w:tcPr>
          <w:p w14:paraId="32FAECA9" w14:textId="724E9EE6" w:rsidR="00C25D98" w:rsidRPr="00D13A88" w:rsidRDefault="00C25D98" w:rsidP="00911A11">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Không nên quy định Nghị quyết có hiệu lực ngay từ ngày ký, trong khi UBND Thành phố cần từ 60 đến 90 ngày để ban hành tiêu chí và mức hỗ trợ. Nên xác định một ngày có hiệu lực cụ thể và có quy định chuyển tiếp.</w:t>
            </w:r>
          </w:p>
        </w:tc>
        <w:tc>
          <w:tcPr>
            <w:tcW w:w="6791" w:type="dxa"/>
          </w:tcPr>
          <w:p w14:paraId="5F55D227" w14:textId="1EF4E16A" w:rsidR="00C25D98" w:rsidRPr="00D13A88" w:rsidRDefault="00C25D98" w:rsidP="000727C7">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w:t>
            </w:r>
            <w:r w:rsidRPr="00D13A88">
              <w:rPr>
                <w:rFonts w:ascii="Times New Roman" w:hAnsi="Times New Roman"/>
                <w:color w:val="000000" w:themeColor="text1"/>
                <w:sz w:val="24"/>
                <w:szCs w:val="24"/>
              </w:rPr>
              <w:t>. Kiến nghị bổ sung một Điều mới (Điều 19) quy định rõ ngày có hiệu lực thi hành.</w:t>
            </w:r>
          </w:p>
        </w:tc>
      </w:tr>
      <w:tr w:rsidR="00D13A88" w:rsidRPr="00D13A88" w14:paraId="69A6CFC5" w14:textId="77777777" w:rsidTr="000123C5">
        <w:tc>
          <w:tcPr>
            <w:tcW w:w="2047" w:type="dxa"/>
          </w:tcPr>
          <w:p w14:paraId="0ACD56DA" w14:textId="3F7D95ED" w:rsidR="00C25D98" w:rsidRPr="00D13A88" w:rsidRDefault="00C25D98" w:rsidP="00911A11">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Kỹ thuật lập quy — cụm từ "theo tinh thần"</w:t>
            </w:r>
          </w:p>
        </w:tc>
        <w:tc>
          <w:tcPr>
            <w:tcW w:w="1530" w:type="dxa"/>
            <w:vMerge/>
          </w:tcPr>
          <w:p w14:paraId="02899003" w14:textId="5B75A54E" w:rsidR="00C25D98" w:rsidRPr="00D13A88" w:rsidRDefault="00C25D98" w:rsidP="00911A11">
            <w:pPr>
              <w:rPr>
                <w:rFonts w:ascii="Times New Roman" w:hAnsi="Times New Roman"/>
                <w:color w:val="000000" w:themeColor="text1"/>
                <w:sz w:val="24"/>
                <w:szCs w:val="24"/>
              </w:rPr>
            </w:pPr>
          </w:p>
        </w:tc>
        <w:tc>
          <w:tcPr>
            <w:tcW w:w="4050" w:type="dxa"/>
          </w:tcPr>
          <w:p w14:paraId="72667A02" w14:textId="2CF91C61" w:rsidR="00C25D98" w:rsidRPr="00D13A88" w:rsidRDefault="00C25D98" w:rsidP="000727C7">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Văn bản quy phạm pháp luật phải quy định và dẫn chiếu chính xác, không nên sử dụng cụm từ thiếu tính quy phạm như theo tinh thần Điều 9 Luật số 93/2025/QH15”.</w:t>
            </w:r>
          </w:p>
        </w:tc>
        <w:tc>
          <w:tcPr>
            <w:tcW w:w="6791" w:type="dxa"/>
          </w:tcPr>
          <w:p w14:paraId="6063A466" w14:textId="3C522ADF" w:rsidR="00C25D98" w:rsidRPr="00D13A88" w:rsidRDefault="00C25D98" w:rsidP="000727C7">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w:t>
            </w:r>
            <w:r w:rsidRPr="00D13A88">
              <w:rPr>
                <w:rFonts w:ascii="Times New Roman" w:hAnsi="Times New Roman"/>
                <w:color w:val="000000" w:themeColor="text1"/>
                <w:sz w:val="24"/>
                <w:szCs w:val="24"/>
              </w:rPr>
              <w:t>. Đã điều chỉnh thành dẫn chiếu đến văn bản quy phạm trực tiếp, bảo đảm tính quy phạm chặt chẽ của văn bản.</w:t>
            </w:r>
          </w:p>
        </w:tc>
      </w:tr>
      <w:tr w:rsidR="00D13A88" w:rsidRPr="00D13A88" w14:paraId="6E38470F" w14:textId="77777777" w:rsidTr="000123C5">
        <w:tc>
          <w:tcPr>
            <w:tcW w:w="2047" w:type="dxa"/>
          </w:tcPr>
          <w:p w14:paraId="35083238" w14:textId="000B0543" w:rsidR="00C25D98" w:rsidRPr="00D13A88" w:rsidRDefault="00C25D98" w:rsidP="00911A11">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Nguyên tắc phân cấp HĐND – UBND (tổng thể dự thảo)</w:t>
            </w:r>
          </w:p>
        </w:tc>
        <w:tc>
          <w:tcPr>
            <w:tcW w:w="1530" w:type="dxa"/>
            <w:vMerge/>
          </w:tcPr>
          <w:p w14:paraId="167B6C15" w14:textId="3D775FFA" w:rsidR="00C25D98" w:rsidRPr="00D13A88" w:rsidRDefault="00C25D98" w:rsidP="00911A11">
            <w:pPr>
              <w:rPr>
                <w:rFonts w:ascii="Times New Roman" w:hAnsi="Times New Roman"/>
                <w:color w:val="000000" w:themeColor="text1"/>
                <w:sz w:val="24"/>
                <w:szCs w:val="24"/>
              </w:rPr>
            </w:pPr>
          </w:p>
        </w:tc>
        <w:tc>
          <w:tcPr>
            <w:tcW w:w="4050" w:type="dxa"/>
          </w:tcPr>
          <w:p w14:paraId="17EE1E06" w14:textId="372B4CBD" w:rsidR="00C25D98" w:rsidRPr="00D13A88" w:rsidRDefault="00C25D98" w:rsidP="00911A11">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 xml:space="preserve">Cần hạn chế giao UBND Thành phố quy định các nội dung cốt lõi như điều kiện hưởng, mức hỗ trợ, tỷ lệ vốn ngân sách và trường hợp thu hồi. HĐND Thành phố phải quy định trực tiếp các </w:t>
            </w:r>
            <w:r w:rsidRPr="00D13A88">
              <w:rPr>
                <w:rFonts w:ascii="Times New Roman" w:hAnsi="Times New Roman"/>
                <w:color w:val="000000" w:themeColor="text1"/>
                <w:sz w:val="24"/>
                <w:szCs w:val="24"/>
              </w:rPr>
              <w:lastRenderedPageBreak/>
              <w:t>nguyên tắc, mức tối đa và điều kiện cơ bản; UBND chỉ quy định hồ sơ, biểu mẫu và quy trình thực hiện.</w:t>
            </w:r>
          </w:p>
        </w:tc>
        <w:tc>
          <w:tcPr>
            <w:tcW w:w="6791" w:type="dxa"/>
          </w:tcPr>
          <w:p w14:paraId="25028F18" w14:textId="132BD1CB" w:rsidR="00C25D98" w:rsidRPr="00D13A88" w:rsidRDefault="00C25D98" w:rsidP="000727C7">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lastRenderedPageBreak/>
              <w:t>TIẾP THU</w:t>
            </w:r>
            <w:r w:rsidRPr="00D13A88">
              <w:rPr>
                <w:rFonts w:ascii="Times New Roman" w:hAnsi="Times New Roman"/>
                <w:color w:val="000000" w:themeColor="text1"/>
                <w:sz w:val="24"/>
                <w:szCs w:val="24"/>
              </w:rPr>
              <w:t xml:space="preserve">. Dự thảo hiện hành đã khắc phục đáng kể: Hội đồng nhân dân Thành phố đã trực tiếp quy định các mức tối đa cụ thể (50% chi phí đầu tư — điểm a khoản 2 Điều 6; 04 lượt/tổ chức/năm — điểm đ khoản 1 Điều 7; 50 tỷ đồng/đơn vị — khoản 1 Điều 8; 10 tỷ đồng/cơ sở/năm — khoản 1 Điều 9; 300 và 500 triệu đồng/tổ chức — điểm a, </w:t>
            </w:r>
            <w:r w:rsidRPr="00D13A88">
              <w:rPr>
                <w:rFonts w:ascii="Times New Roman" w:hAnsi="Times New Roman"/>
                <w:color w:val="000000" w:themeColor="text1"/>
                <w:sz w:val="24"/>
                <w:szCs w:val="24"/>
              </w:rPr>
              <w:lastRenderedPageBreak/>
              <w:t>b khoản 1 Điều 10), điều kiện cơ bản (Điều 11) và các trường hợp thu hồi, xử lý vi phạm (khoản 2 Điều 15). Ủy ban nhân dân Thành phố chỉ còn được giao quy định các nội dung mang tính kỹ thuật, quy trình, hồ sơ, biểu mẫu tại Điều 12.</w:t>
            </w:r>
          </w:p>
        </w:tc>
      </w:tr>
      <w:tr w:rsidR="00D13A88" w:rsidRPr="00D13A88" w14:paraId="047EE5DE" w14:textId="77777777" w:rsidTr="000123C5">
        <w:tc>
          <w:tcPr>
            <w:tcW w:w="2047" w:type="dxa"/>
          </w:tcPr>
          <w:p w14:paraId="51A4985C" w14:textId="7601B611"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lastRenderedPageBreak/>
              <w:t>Tên gọi Nghị quyết</w:t>
            </w:r>
          </w:p>
        </w:tc>
        <w:tc>
          <w:tcPr>
            <w:tcW w:w="1530" w:type="dxa"/>
            <w:vMerge w:val="restart"/>
          </w:tcPr>
          <w:p w14:paraId="1A4B09DE" w14:textId="7BF26422"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Viện Pasteur TP Hồ Chí Minh</w:t>
            </w:r>
          </w:p>
        </w:tc>
        <w:tc>
          <w:tcPr>
            <w:tcW w:w="4050" w:type="dxa"/>
          </w:tcPr>
          <w:p w14:paraId="7F9C3938" w14:textId="77777777"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Đề nghị đổi tên Nghị quyết theo hướng nêu bật tính đặc thù và tư duy hệ sinh thái, ví dụ: “Nghị quyết quy định cơ chế, chính sách đặc thù phát triển hệ sinh thái hạ tầng khoa học, công nghệ, đổi mới sáng tạo và chuyển đổi số Thành phố Hồ Chí Minh”, thay vì tên gọi hiện tại được cho là chưa rõ ngữ pháp, nội hàm (“phát triển hạ tầng, các tổ chức”).</w:t>
            </w:r>
          </w:p>
        </w:tc>
        <w:tc>
          <w:tcPr>
            <w:tcW w:w="6791" w:type="dxa"/>
          </w:tcPr>
          <w:p w14:paraId="37686F96" w14:textId="105CAB8B" w:rsidR="005F3A50" w:rsidRPr="00D13A88" w:rsidRDefault="007B6D76" w:rsidP="00FF5B52">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GIẢI TRÌNH</w:t>
            </w:r>
            <w:r w:rsidRPr="00D13A88">
              <w:rPr>
                <w:rFonts w:ascii="Times New Roman" w:hAnsi="Times New Roman"/>
                <w:color w:val="000000" w:themeColor="text1"/>
                <w:sz w:val="24"/>
                <w:szCs w:val="24"/>
              </w:rPr>
              <w:t xml:space="preserve">. Tên gọi hiện hành của dự thảo Nghị quyết (“Quy định một số cơ chế, chính sách ưu đãi, hỗ trợ phát triển hạ tầng, hệ thống đổi mới sáng tạo, các tổ chức có hoạt động trong lĩnh vực khoa học, công nghệ, đổi mới sáng tạo và chuyển đổi số trên địa bàn Thành phố Hồ Chí Minh”) đã được điều chỉnh so với thời điểm góp ý (bổ sung cụm “hệ thống đổi mới sáng tạo”), bám sát đúng câu chữ của điểm a khoản 2 Điều </w:t>
            </w:r>
            <w:r w:rsidR="00FF5B52">
              <w:rPr>
                <w:rFonts w:ascii="Times New Roman" w:hAnsi="Times New Roman"/>
                <w:color w:val="000000" w:themeColor="text1"/>
                <w:sz w:val="24"/>
                <w:szCs w:val="24"/>
              </w:rPr>
              <w:t>30</w:t>
            </w:r>
            <w:r w:rsidRPr="00D13A88">
              <w:rPr>
                <w:rFonts w:ascii="Times New Roman" w:hAnsi="Times New Roman"/>
                <w:color w:val="000000" w:themeColor="text1"/>
                <w:sz w:val="24"/>
                <w:szCs w:val="24"/>
              </w:rPr>
              <w:t xml:space="preserve"> dự thảo Luật Phát triển đô thị nhằm bảo đảm tính thống nhất giữa tên gọi văn bản và phạm vi thẩm quyền được giao. Không tiếp thu phương án đổi tên theo hướng “hệ sinh thái hạ tầng” vì có thể tạo cách hiểu vượt quá phạm vi cụ thể đã được Luật giao.</w:t>
            </w:r>
          </w:p>
        </w:tc>
      </w:tr>
      <w:tr w:rsidR="00D13A88" w:rsidRPr="00D13A88" w14:paraId="71594765" w14:textId="77777777" w:rsidTr="000123C5">
        <w:tc>
          <w:tcPr>
            <w:tcW w:w="2047" w:type="dxa"/>
          </w:tcPr>
          <w:p w14:paraId="64C6359C" w14:textId="0E053BB1"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Kỹ thuật lập quy — trùng số thứ tự Điều</w:t>
            </w:r>
          </w:p>
        </w:tc>
        <w:tc>
          <w:tcPr>
            <w:tcW w:w="1530" w:type="dxa"/>
            <w:vMerge/>
          </w:tcPr>
          <w:p w14:paraId="5AEBF17E" w14:textId="77777777" w:rsidR="005F3A50" w:rsidRPr="00D13A88" w:rsidRDefault="005F3A50">
            <w:pPr>
              <w:rPr>
                <w:rFonts w:ascii="Times New Roman" w:hAnsi="Times New Roman"/>
                <w:color w:val="000000" w:themeColor="text1"/>
                <w:sz w:val="24"/>
                <w:szCs w:val="24"/>
              </w:rPr>
            </w:pPr>
          </w:p>
        </w:tc>
        <w:tc>
          <w:tcPr>
            <w:tcW w:w="4050" w:type="dxa"/>
          </w:tcPr>
          <w:p w14:paraId="7892DC2F" w14:textId="77777777"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Dự thảo (bản góp ý) có hai điều cùng đánh số “Điều 2” (Điều 2. Tổ chức thực hiện và Điều 2. Điều khoản thi hành); đề nghị sửa điều khoản thi hành thành “Điều 3”, đồng thời quy định ngày hiệu lực cụ thể thay vì “có hiệu lực từ ngày ký ban hành”.</w:t>
            </w:r>
          </w:p>
        </w:tc>
        <w:tc>
          <w:tcPr>
            <w:tcW w:w="6791" w:type="dxa"/>
          </w:tcPr>
          <w:p w14:paraId="568BF102" w14:textId="2B6E4529" w:rsidR="005F3A50" w:rsidRPr="00D13A88" w:rsidRDefault="007B6D76" w:rsidP="00F360BE">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w:t>
            </w:r>
            <w:r w:rsidRPr="00D13A88">
              <w:rPr>
                <w:rFonts w:ascii="Times New Roman" w:hAnsi="Times New Roman"/>
                <w:color w:val="000000" w:themeColor="text1"/>
                <w:sz w:val="24"/>
                <w:szCs w:val="24"/>
              </w:rPr>
              <w:t xml:space="preserve">. </w:t>
            </w:r>
            <w:r w:rsidR="00F360BE" w:rsidRPr="00D13A88">
              <w:rPr>
                <w:rFonts w:ascii="Times New Roman" w:hAnsi="Times New Roman"/>
                <w:color w:val="000000" w:themeColor="text1"/>
                <w:sz w:val="24"/>
                <w:szCs w:val="24"/>
              </w:rPr>
              <w:t>Trong quá trình tiếp thu, chỉnh lý, Cơ quan soạn thảo đã điều chỉnh thể thức dự thảo Nghị quyết sang Mẫu số 17, Phụ lục III ban hành kèm theo Nghị định số 78/2025/NĐ-CP (được sửa đổi, bổ sung tại Nghị định số 187/2025/NĐ-CP ngày 01/7/2025 của Chính phủ) bảo đảm đúng thể thức, kỹ thuật trình bày văn bản quy phạm pháp luật</w:t>
            </w:r>
            <w:r w:rsidRPr="00D13A88">
              <w:rPr>
                <w:rFonts w:ascii="Times New Roman" w:hAnsi="Times New Roman"/>
                <w:color w:val="000000" w:themeColor="text1"/>
                <w:sz w:val="24"/>
                <w:szCs w:val="24"/>
              </w:rPr>
              <w:t>.</w:t>
            </w:r>
          </w:p>
        </w:tc>
      </w:tr>
      <w:tr w:rsidR="00D13A88" w:rsidRPr="00D13A88" w14:paraId="694366D7" w14:textId="77777777" w:rsidTr="000123C5">
        <w:tc>
          <w:tcPr>
            <w:tcW w:w="2047" w:type="dxa"/>
          </w:tcPr>
          <w:p w14:paraId="76FAB4C6" w14:textId="650A8ADD"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Phạm vi điều chỉnh (Điều 1)</w:t>
            </w:r>
          </w:p>
        </w:tc>
        <w:tc>
          <w:tcPr>
            <w:tcW w:w="1530" w:type="dxa"/>
            <w:vMerge/>
          </w:tcPr>
          <w:p w14:paraId="5E475BB9" w14:textId="77777777" w:rsidR="005F3A50" w:rsidRPr="00D13A88" w:rsidRDefault="005F3A50">
            <w:pPr>
              <w:rPr>
                <w:rFonts w:ascii="Times New Roman" w:hAnsi="Times New Roman"/>
                <w:color w:val="000000" w:themeColor="text1"/>
                <w:sz w:val="24"/>
                <w:szCs w:val="24"/>
              </w:rPr>
            </w:pPr>
          </w:p>
        </w:tc>
        <w:tc>
          <w:tcPr>
            <w:tcW w:w="4050" w:type="dxa"/>
          </w:tcPr>
          <w:p w14:paraId="31C18778" w14:textId="77777777"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Đề nghị viết lại Điều 1 theo 6 cấu phần: (1) quy hoạch, tạo lập hạ tầng; (2) đầu tư/đồng đầu tư; (3) vận hành; (4) tiếp cận, chia sẻ; (5) dữ liệu và nền tảng số; (6) thương mại hóa kết quả từ hạ tầng, cho rằng phạm vi hiện tại (3 nhóm) là chưa đủ.</w:t>
            </w:r>
          </w:p>
        </w:tc>
        <w:tc>
          <w:tcPr>
            <w:tcW w:w="6791" w:type="dxa"/>
          </w:tcPr>
          <w:p w14:paraId="2711C6A9" w14:textId="77777777" w:rsidR="005F3A50" w:rsidRPr="00D13A88" w:rsidRDefault="007B6D76">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 MỘT PHẦN</w:t>
            </w:r>
            <w:r w:rsidRPr="00D13A88">
              <w:rPr>
                <w:rFonts w:ascii="Times New Roman" w:hAnsi="Times New Roman"/>
                <w:color w:val="000000" w:themeColor="text1"/>
                <w:sz w:val="24"/>
                <w:szCs w:val="24"/>
              </w:rPr>
              <w:t>. Điều 1 dự thảo hiện hành quy định 4 nhóm nội dung (ưu đãi thuế đầu tư hạ tầng; ưu đãi, hỗ trợ sử dụng hạ tầng dùng chung; hỗ trợ hệ thống đổi mới sáng tạo; hỗ trợ chuyển đổi số), về cơ bản bao quát các cấu phần “đầu tư”, “vận hành, tiếp cận, chia sẻ” và “dữ liệu, nền tảng số” mà góp ý đề xuất.</w:t>
            </w:r>
          </w:p>
          <w:p w14:paraId="1A00AFF8" w14:textId="27270270" w:rsidR="005F3A50" w:rsidRPr="00D13A88" w:rsidRDefault="007B6D76" w:rsidP="00FF5B52">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 xml:space="preserve">Riêng hai cấu phần “quy hoạch, tạo lập hạ tầng” và “thương mại hóa kết quả từ hạ tầng” không được đưa vào phạm vi điều chỉnh vì: (i) nội dung quy hoạch không gian, đất đai cho hạ tầng thuộc lĩnh vực </w:t>
            </w:r>
            <w:r w:rsidRPr="00D13A88">
              <w:rPr>
                <w:rFonts w:ascii="Times New Roman" w:hAnsi="Times New Roman"/>
                <w:color w:val="000000" w:themeColor="text1"/>
                <w:sz w:val="24"/>
                <w:szCs w:val="24"/>
              </w:rPr>
              <w:lastRenderedPageBreak/>
              <w:t xml:space="preserve">quy hoạch đô thị, do các Điều khác của dự thảo Luật Phát triển đô thị điều chỉnh, không thuộc điểm a khoản 2 Điều </w:t>
            </w:r>
            <w:r w:rsidR="00FF5B52">
              <w:rPr>
                <w:rFonts w:ascii="Times New Roman" w:hAnsi="Times New Roman"/>
                <w:color w:val="000000" w:themeColor="text1"/>
                <w:sz w:val="24"/>
                <w:szCs w:val="24"/>
              </w:rPr>
              <w:t>30</w:t>
            </w:r>
            <w:r w:rsidRPr="00D13A88">
              <w:rPr>
                <w:rFonts w:ascii="Times New Roman" w:hAnsi="Times New Roman"/>
                <w:color w:val="000000" w:themeColor="text1"/>
                <w:sz w:val="24"/>
                <w:szCs w:val="24"/>
              </w:rPr>
              <w:t xml:space="preserve">; (ii) nội dung thương mại hóa kết quả nghiên cứu, chuyển giao công nghệ, sở hữu trí tuệ thuộc phạm vi điểm c khoản 2 Điều </w:t>
            </w:r>
            <w:r w:rsidR="00FF5B52">
              <w:rPr>
                <w:rFonts w:ascii="Times New Roman" w:hAnsi="Times New Roman"/>
                <w:color w:val="000000" w:themeColor="text1"/>
                <w:sz w:val="24"/>
                <w:szCs w:val="24"/>
              </w:rPr>
              <w:t>30</w:t>
            </w:r>
            <w:r w:rsidRPr="00D13A88">
              <w:rPr>
                <w:rFonts w:ascii="Times New Roman" w:hAnsi="Times New Roman"/>
                <w:color w:val="000000" w:themeColor="text1"/>
                <w:sz w:val="24"/>
                <w:szCs w:val="24"/>
              </w:rPr>
              <w:t xml:space="preserve"> dự thảo Luật (do một cơ chế, chính sách khác của Hội đồng nhân dân Thành phố điều chỉnh), không thuộc điểm a khoản 2 Điều </w:t>
            </w:r>
            <w:r w:rsidR="00FF5B52">
              <w:rPr>
                <w:rFonts w:ascii="Times New Roman" w:hAnsi="Times New Roman"/>
                <w:color w:val="000000" w:themeColor="text1"/>
                <w:sz w:val="24"/>
                <w:szCs w:val="24"/>
              </w:rPr>
              <w:t>30</w:t>
            </w:r>
            <w:r w:rsidRPr="00D13A88">
              <w:rPr>
                <w:rFonts w:ascii="Times New Roman" w:hAnsi="Times New Roman"/>
                <w:color w:val="000000" w:themeColor="text1"/>
                <w:sz w:val="24"/>
                <w:szCs w:val="24"/>
              </w:rPr>
              <w:t xml:space="preserve"> được giao cho Nghị quyết này.</w:t>
            </w:r>
          </w:p>
        </w:tc>
      </w:tr>
      <w:tr w:rsidR="00D13A88" w:rsidRPr="00D13A88" w14:paraId="0E993AB9" w14:textId="77777777" w:rsidTr="000123C5">
        <w:tc>
          <w:tcPr>
            <w:tcW w:w="2047" w:type="dxa"/>
          </w:tcPr>
          <w:p w14:paraId="22456483" w14:textId="7CFF7387"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lastRenderedPageBreak/>
              <w:t>Đối tượng áp dụng (Điều 2)</w:t>
            </w:r>
          </w:p>
        </w:tc>
        <w:tc>
          <w:tcPr>
            <w:tcW w:w="1530" w:type="dxa"/>
            <w:vMerge/>
          </w:tcPr>
          <w:p w14:paraId="44E85383" w14:textId="77777777" w:rsidR="005F3A50" w:rsidRPr="00D13A88" w:rsidRDefault="005F3A50">
            <w:pPr>
              <w:rPr>
                <w:rFonts w:ascii="Times New Roman" w:hAnsi="Times New Roman"/>
                <w:color w:val="000000" w:themeColor="text1"/>
                <w:sz w:val="24"/>
                <w:szCs w:val="24"/>
              </w:rPr>
            </w:pPr>
          </w:p>
        </w:tc>
        <w:tc>
          <w:tcPr>
            <w:tcW w:w="4050" w:type="dxa"/>
          </w:tcPr>
          <w:p w14:paraId="2D053EBF" w14:textId="0AD5BF4B"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Đề nghị bổ sung “tổ chức quản lý, vận hành chuyên nghiệp hạ tầng” (khác chủ sở hữu); bổ sung tổ chức khoa học công nghệ, trung tâm R&amp;D của doanh nghiệp trong/ngoài nước, tổ chức quốc tế; thu hẹp khoản về cá nhân (bỏ “lãnh đạo”).</w:t>
            </w:r>
          </w:p>
        </w:tc>
        <w:tc>
          <w:tcPr>
            <w:tcW w:w="6791" w:type="dxa"/>
          </w:tcPr>
          <w:p w14:paraId="485E33B2" w14:textId="04A7F082" w:rsidR="005F3A50" w:rsidRPr="00D13A88" w:rsidRDefault="007B6D76">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 MỘT PHẦN</w:t>
            </w:r>
            <w:r w:rsidRPr="00D13A88">
              <w:rPr>
                <w:rFonts w:ascii="Times New Roman" w:hAnsi="Times New Roman"/>
                <w:color w:val="000000" w:themeColor="text1"/>
                <w:sz w:val="24"/>
                <w:szCs w:val="24"/>
              </w:rPr>
              <w:t>. Khoản 2 Điều 2 hiện hành đã bổ sung cụm “quản lý, vận hành” hạ tầng (không chỉ tổ chức đầu tư xây dựng), đáp ứng đề nghị bổ sung nhóm “tổ chức vận hành chuyên nghiệp”. Về tổ chức quốc tế, trung tâm R&amp;D doanh nghiệp nước ngoài: điểm d khoản 3 Điều 2 quy định mở “các tổ chức khác có hoạt động khoa học, công nghệ và đổi mới sáng tạo theo quy định của pháp luật”, đủ cơ sở áp dụng cho các chủ thể này khi có hoạt động thực tế trên địa bàn Thành phố, không cần liệt kê minh thị. Về đề nghị thu hẹp khoản quy định đối với cá nhân (bỏ “lãnh đạo”): dự thảo hiện hành không còn khoản riêng về cá nhân (lãnh đạo, viên chức, chuyên gia, nhà khoa học…) trong Điều 2, nên nội dung góp ý không còn đối tượng áp dụng.</w:t>
            </w:r>
          </w:p>
        </w:tc>
      </w:tr>
      <w:tr w:rsidR="00D13A88" w:rsidRPr="00D13A88" w14:paraId="5CC62C96" w14:textId="77777777" w:rsidTr="000123C5">
        <w:tc>
          <w:tcPr>
            <w:tcW w:w="2047" w:type="dxa"/>
          </w:tcPr>
          <w:p w14:paraId="6D6C323B" w14:textId="77777777"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Giải thích từ ngữ (Điều 3) — danh mục hạ tầng và khái niệm “hạ tầng dùng chung”</w:t>
            </w:r>
          </w:p>
        </w:tc>
        <w:tc>
          <w:tcPr>
            <w:tcW w:w="1530" w:type="dxa"/>
            <w:vMerge/>
          </w:tcPr>
          <w:p w14:paraId="03FCEA1B" w14:textId="77777777" w:rsidR="005F3A50" w:rsidRPr="00D13A88" w:rsidRDefault="005F3A50">
            <w:pPr>
              <w:rPr>
                <w:rFonts w:ascii="Times New Roman" w:hAnsi="Times New Roman"/>
                <w:color w:val="000000" w:themeColor="text1"/>
                <w:sz w:val="24"/>
                <w:szCs w:val="24"/>
              </w:rPr>
            </w:pPr>
          </w:p>
        </w:tc>
        <w:tc>
          <w:tcPr>
            <w:tcW w:w="4050" w:type="dxa"/>
          </w:tcPr>
          <w:p w14:paraId="3FF31460" w14:textId="01BB1BE0"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Đề nghị mở rộng danh mục hạ tầng cụ thể (phòng sạch, pilot line, trung tâm thiết kế/kiểm thử vi mạch, GMP pilot, HPC/AI compute, trung tâm chất lượng, living lab, testbed, trung tâm chuyển giao/thương mại hóa…) và định nghĩa mở theo chức năng (“bao gồm nhưng không giới hạn”); đề nghị bổ sung khái niệm riêng “hạ tầng dùng chung”.</w:t>
            </w:r>
          </w:p>
        </w:tc>
        <w:tc>
          <w:tcPr>
            <w:tcW w:w="6791" w:type="dxa"/>
          </w:tcPr>
          <w:p w14:paraId="061BB09D" w14:textId="77777777" w:rsidR="005F3A50" w:rsidRPr="00D13A88" w:rsidRDefault="007B6D76">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 MỘT PHẦN</w:t>
            </w:r>
            <w:r w:rsidRPr="00D13A88">
              <w:rPr>
                <w:rFonts w:ascii="Times New Roman" w:hAnsi="Times New Roman"/>
                <w:color w:val="000000" w:themeColor="text1"/>
                <w:sz w:val="24"/>
                <w:szCs w:val="24"/>
              </w:rPr>
              <w:t xml:space="preserve">. Khoản 1 Điều 3 hiện hành đã định nghĩa hạ tầng khoa học, công nghệ, đổi mới sáng tạo và chuyển đổi số theo hướng chức năng (hệ thống cơ sở vật chất, hạ tầng số, dữ liệu, nền tảng công nghệ, tổ chức trung gian và thiết chế hỗ trợ phục vụ nghiên cứu, phát triển công nghệ, đổi mới sáng tạo, chuyển đổi số, thương mại hóa…), không giới hạn cứng ở một số loại hình cụ thể; các loại hạ tầng chuyên sâu (phòng sạch, pilot line, GMP, testbed…) thuộc nhóm “phòng thí nghiệm, thiết bị nghiên cứu dùng chung” và sẽ được cụ thể hóa trong tiêu chí kỹ thuật do Ủy ban nhân dân Thành phố quy định chi tiết tại khoản 1 Điều 12, không đưa danh mục kỹ thuật chi tiết vào Nghị quyết. Ghi nhận đề nghị bổ sung khái niệm “hạ tầng dùng chung” tại Điều 3 (thuật ngữ đang được sử dụng xuyên suốt </w:t>
            </w:r>
            <w:r w:rsidRPr="00D13A88">
              <w:rPr>
                <w:rFonts w:ascii="Times New Roman" w:hAnsi="Times New Roman"/>
                <w:color w:val="000000" w:themeColor="text1"/>
                <w:sz w:val="24"/>
                <w:szCs w:val="24"/>
              </w:rPr>
              <w:lastRenderedPageBreak/>
              <w:t>Điều 6, Điều 10 nhưng chưa có định nghĩa riêng); kiến nghị Bộ phận soạn thảo bổ sung một khoản định nghĩa tương ứng.</w:t>
            </w:r>
          </w:p>
        </w:tc>
      </w:tr>
      <w:tr w:rsidR="00D13A88" w:rsidRPr="00D13A88" w14:paraId="0B0A6387" w14:textId="77777777" w:rsidTr="000123C5">
        <w:tc>
          <w:tcPr>
            <w:tcW w:w="2047" w:type="dxa"/>
          </w:tcPr>
          <w:p w14:paraId="1E9D846B" w14:textId="77777777"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lastRenderedPageBreak/>
              <w:t>Danh mục loại hạ tầng ưu tiên (Điều 5)</w:t>
            </w:r>
          </w:p>
        </w:tc>
        <w:tc>
          <w:tcPr>
            <w:tcW w:w="1530" w:type="dxa"/>
            <w:vMerge/>
          </w:tcPr>
          <w:p w14:paraId="60F53FC6" w14:textId="0DAD3D05" w:rsidR="005F3A50" w:rsidRPr="00D13A88" w:rsidRDefault="005F3A50">
            <w:pPr>
              <w:rPr>
                <w:rFonts w:ascii="Times New Roman" w:hAnsi="Times New Roman"/>
                <w:color w:val="000000" w:themeColor="text1"/>
                <w:sz w:val="24"/>
                <w:szCs w:val="24"/>
              </w:rPr>
            </w:pPr>
          </w:p>
        </w:tc>
        <w:tc>
          <w:tcPr>
            <w:tcW w:w="4050" w:type="dxa"/>
          </w:tcPr>
          <w:p w14:paraId="7920FDC7" w14:textId="77777777"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Đề nghị bổ sung các loại hạ tầng chiến lược cụ thể: phòng sạch, pilot line, trung tâm thiết kế/đóng gói/kiểm thử vi mạch, HPC/AI compute, trung tâm dữ liệu nghiên cứu, trung tâm thử nghiệm — đo lường — kiểm định, pilot GMP biotech/pharma, testbed đô thị thông minh, living lab, trung tâm chuyển giao và thương mại hóa công nghệ.</w:t>
            </w:r>
          </w:p>
        </w:tc>
        <w:tc>
          <w:tcPr>
            <w:tcW w:w="6791" w:type="dxa"/>
          </w:tcPr>
          <w:p w14:paraId="7FF0E67F" w14:textId="69AD4FA7" w:rsidR="005F3A50" w:rsidRPr="00D13A88" w:rsidRDefault="007B6D76" w:rsidP="000123C5">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GIẢI TRÌNH</w:t>
            </w:r>
            <w:r w:rsidRPr="00D13A88">
              <w:rPr>
                <w:rFonts w:ascii="Times New Roman" w:hAnsi="Times New Roman"/>
                <w:color w:val="000000" w:themeColor="text1"/>
                <w:sz w:val="24"/>
                <w:szCs w:val="24"/>
              </w:rPr>
              <w:t>. Các loại hạ tầng nêu trên về cơ bản thuộc phạm vi khái quát của Nhóm 1 (điểm c khoản 1 Điều 5 — phòng thí nghiệm, thiết bị nghiên cứu dùng chung) và Nhóm 2 (khoản 2 Điều 5 — hạ tầng số, nền tảng trí tuệ nhân tạo, dữ liệu lớn phục vụ nghiên cứu). Tiêu chí kỹ thuật cụ thể cho từng loại hạ tầng được giao Ủy ban nhân dân Thành phố quy định chi tiết tại khoản 1 Điều 12, bảo đảm nguyên tắc Nghị quyết chỉ quy định khung, không liệt kê chi ti</w:t>
            </w:r>
            <w:r w:rsidR="000123C5" w:rsidRPr="00D13A88">
              <w:rPr>
                <w:rFonts w:ascii="Times New Roman" w:hAnsi="Times New Roman"/>
                <w:color w:val="000000" w:themeColor="text1"/>
                <w:sz w:val="24"/>
                <w:szCs w:val="24"/>
              </w:rPr>
              <w:t xml:space="preserve">ết kỹ thuật. Ghi nhận ý kiến </w:t>
            </w:r>
            <w:r w:rsidRPr="00D13A88">
              <w:rPr>
                <w:rFonts w:ascii="Times New Roman" w:hAnsi="Times New Roman"/>
                <w:color w:val="000000" w:themeColor="text1"/>
                <w:sz w:val="24"/>
                <w:szCs w:val="24"/>
              </w:rPr>
              <w:t>tham khảo khi ban hành tiêu chí kỹ thuật, ưu tiên các loại hạ tầng chiến lược gắn với công nghệ cao, công nghệ chiến lược theo Luật Công nghệ cao số 133/2025/QH15.</w:t>
            </w:r>
          </w:p>
        </w:tc>
      </w:tr>
      <w:tr w:rsidR="00D13A88" w:rsidRPr="00D13A88" w14:paraId="7A0E3F3C" w14:textId="77777777" w:rsidTr="000123C5">
        <w:tc>
          <w:tcPr>
            <w:tcW w:w="2047" w:type="dxa"/>
          </w:tcPr>
          <w:p w14:paraId="4C03F42A" w14:textId="7B87B689"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“Khu đô thị khoa học, công nghệ, đổi mới sáng tạo” — đề nghị coi là hệ sinh thái tích hợp (innovation district)</w:t>
            </w:r>
          </w:p>
        </w:tc>
        <w:tc>
          <w:tcPr>
            <w:tcW w:w="1530" w:type="dxa"/>
            <w:vMerge/>
          </w:tcPr>
          <w:p w14:paraId="420E02A4" w14:textId="26BC7908" w:rsidR="005F3A50" w:rsidRPr="00D13A88" w:rsidRDefault="005F3A50">
            <w:pPr>
              <w:rPr>
                <w:rFonts w:ascii="Times New Roman" w:hAnsi="Times New Roman"/>
                <w:color w:val="000000" w:themeColor="text1"/>
                <w:sz w:val="24"/>
                <w:szCs w:val="24"/>
              </w:rPr>
            </w:pPr>
          </w:p>
        </w:tc>
        <w:tc>
          <w:tcPr>
            <w:tcW w:w="4050" w:type="dxa"/>
          </w:tcPr>
          <w:p w14:paraId="249CCEF5" w14:textId="77777777"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Đề nghị Nghị quyết có nguyên tắc riêng ưu tiên hình thành “innovation district” (đại học + viện + R&amp;D doanh nghiệp + startup + nhà ở nhân tài + không gian đô thị…) thay vì coi khu đô thị khoa học công nghệ chỉ là một loại hạ tầng đơn lẻ.</w:t>
            </w:r>
          </w:p>
        </w:tc>
        <w:tc>
          <w:tcPr>
            <w:tcW w:w="6791" w:type="dxa"/>
          </w:tcPr>
          <w:p w14:paraId="20F7D3BD" w14:textId="3F4AF73A" w:rsidR="005F3A50" w:rsidRPr="00D13A88" w:rsidRDefault="007B6D76" w:rsidP="00FF5B52">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KHÔNG THUỘC PHẠM VI ĐIỀU CHỈNH</w:t>
            </w:r>
            <w:r w:rsidRPr="00D13A88">
              <w:rPr>
                <w:rFonts w:ascii="Times New Roman" w:hAnsi="Times New Roman"/>
                <w:color w:val="000000" w:themeColor="text1"/>
                <w:sz w:val="24"/>
                <w:szCs w:val="24"/>
              </w:rPr>
              <w:t xml:space="preserve">. Tiêu chí và cơ chế, chính sách cho khu đô thị khoa học, công nghệ, đổi mới sáng tạo được dự thảo Luật Phát triển đô thị giao riêng tại điểm </w:t>
            </w:r>
            <w:r w:rsidR="00FF5B52">
              <w:rPr>
                <w:rFonts w:ascii="Times New Roman" w:hAnsi="Times New Roman"/>
                <w:color w:val="000000" w:themeColor="text1"/>
                <w:sz w:val="24"/>
                <w:szCs w:val="24"/>
              </w:rPr>
              <w:t>c</w:t>
            </w:r>
            <w:r w:rsidRPr="00D13A88">
              <w:rPr>
                <w:rFonts w:ascii="Times New Roman" w:hAnsi="Times New Roman"/>
                <w:color w:val="000000" w:themeColor="text1"/>
                <w:sz w:val="24"/>
                <w:szCs w:val="24"/>
              </w:rPr>
              <w:t xml:space="preserve"> khoản </w:t>
            </w:r>
            <w:r w:rsidR="00FF5B52">
              <w:rPr>
                <w:rFonts w:ascii="Times New Roman" w:hAnsi="Times New Roman"/>
                <w:color w:val="000000" w:themeColor="text1"/>
                <w:sz w:val="24"/>
                <w:szCs w:val="24"/>
              </w:rPr>
              <w:t>1 Điều 24</w:t>
            </w:r>
            <w:r w:rsidRPr="00D13A88">
              <w:rPr>
                <w:rFonts w:ascii="Times New Roman" w:hAnsi="Times New Roman"/>
                <w:color w:val="000000" w:themeColor="text1"/>
                <w:sz w:val="24"/>
                <w:szCs w:val="24"/>
              </w:rPr>
              <w:t xml:space="preserve"> (khác với điểm a khoản 2 Điều </w:t>
            </w:r>
            <w:r w:rsidR="00FF5B52">
              <w:rPr>
                <w:rFonts w:ascii="Times New Roman" w:hAnsi="Times New Roman"/>
                <w:color w:val="000000" w:themeColor="text1"/>
                <w:sz w:val="24"/>
                <w:szCs w:val="24"/>
              </w:rPr>
              <w:t>30</w:t>
            </w:r>
            <w:r w:rsidRPr="00D13A88">
              <w:rPr>
                <w:rFonts w:ascii="Times New Roman" w:hAnsi="Times New Roman"/>
                <w:color w:val="000000" w:themeColor="text1"/>
                <w:sz w:val="24"/>
                <w:szCs w:val="24"/>
              </w:rPr>
              <w:t xml:space="preserve"> — căn cứ ban hành Nghị quyết này). Do đó, nội dung xây dựng nguyên tắc, cơ chế cho “khu đô thị khoa học, công nghệ, đổi mới sáng tạo” theo mô hình innovation district không thuộc phạm vi</w:t>
            </w:r>
            <w:r w:rsidR="00FF5B52">
              <w:rPr>
                <w:rFonts w:ascii="Times New Roman" w:hAnsi="Times New Roman"/>
                <w:color w:val="000000" w:themeColor="text1"/>
                <w:sz w:val="24"/>
                <w:szCs w:val="24"/>
              </w:rPr>
              <w:t xml:space="preserve"> điều chỉnh của Nghị quyết này.</w:t>
            </w:r>
          </w:p>
        </w:tc>
      </w:tr>
      <w:tr w:rsidR="00D13A88" w:rsidRPr="00D13A88" w14:paraId="4431EC8A" w14:textId="77777777" w:rsidTr="000123C5">
        <w:tc>
          <w:tcPr>
            <w:tcW w:w="2047" w:type="dxa"/>
          </w:tcPr>
          <w:p w14:paraId="56811761" w14:textId="57EB4DF8"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Giới hạn thẩm quyền bổ sung “hạ tầng khác” (khoản 4 Điều 5)</w:t>
            </w:r>
          </w:p>
        </w:tc>
        <w:tc>
          <w:tcPr>
            <w:tcW w:w="1530" w:type="dxa"/>
            <w:vMerge/>
          </w:tcPr>
          <w:p w14:paraId="36CE6E31" w14:textId="77777777" w:rsidR="005F3A50" w:rsidRPr="00D13A88" w:rsidRDefault="005F3A50">
            <w:pPr>
              <w:rPr>
                <w:rFonts w:ascii="Times New Roman" w:hAnsi="Times New Roman"/>
                <w:color w:val="000000" w:themeColor="text1"/>
                <w:sz w:val="24"/>
                <w:szCs w:val="24"/>
              </w:rPr>
            </w:pPr>
          </w:p>
        </w:tc>
        <w:tc>
          <w:tcPr>
            <w:tcW w:w="4050" w:type="dxa"/>
          </w:tcPr>
          <w:p w14:paraId="4AA43D79" w14:textId="77777777"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Đề nghị không giao quyền mở hoàn toàn cho Ủy ban nhân dân Thành phố bổ sung loại hạ tầng khác mà không có tiêu chí, cần sửa theo hướng có giới hạn, có tiêu chí do Hội đồng nhân dân quy định.</w:t>
            </w:r>
          </w:p>
        </w:tc>
        <w:tc>
          <w:tcPr>
            <w:tcW w:w="6791" w:type="dxa"/>
          </w:tcPr>
          <w:p w14:paraId="1000E69F" w14:textId="73DC1AEB" w:rsidR="005F3A50" w:rsidRPr="00D13A88" w:rsidRDefault="007B6D76">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w:t>
            </w:r>
            <w:r w:rsidRPr="00D13A88">
              <w:rPr>
                <w:rFonts w:ascii="Times New Roman" w:hAnsi="Times New Roman"/>
                <w:color w:val="000000" w:themeColor="text1"/>
                <w:sz w:val="24"/>
                <w:szCs w:val="24"/>
              </w:rPr>
              <w:t>. Khoản 4 Điều 5 hiện hành đã quy định: hạ tầng khác do Ủy ban nhân dân Thành phố đề xuất bổ sung trên cơ sở bảo đảm phù hợp với nguyên tắc quy định tại Điều 4, phải báo cáo Hội đồng nhân dân Thành phố xem xét, quyết định bổ sung vào Danh mục kèm theo Nghị quyết sửa đổi, bổ sung Nghị quyết này — không giao quyền mở hoàn toàn cho Ủy ban nhân dân Thành phố mà vẫn phải qua Hội đồng nhân dân quyết định, đáp ứng đúng tinh thần góp ý.</w:t>
            </w:r>
          </w:p>
        </w:tc>
      </w:tr>
      <w:tr w:rsidR="00D13A88" w:rsidRPr="00D13A88" w14:paraId="031B7D5F" w14:textId="77777777" w:rsidTr="000123C5">
        <w:tc>
          <w:tcPr>
            <w:tcW w:w="2047" w:type="dxa"/>
          </w:tcPr>
          <w:p w14:paraId="16223DE4" w14:textId="1F6EC2C9"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 xml:space="preserve">Nguyên tắc gắn kết quả đầu ra với </w:t>
            </w:r>
            <w:r w:rsidRPr="00D13A88">
              <w:rPr>
                <w:rFonts w:ascii="Times New Roman" w:hAnsi="Times New Roman"/>
                <w:color w:val="000000" w:themeColor="text1"/>
                <w:sz w:val="24"/>
                <w:szCs w:val="24"/>
              </w:rPr>
              <w:lastRenderedPageBreak/>
              <w:t>“tác động” (khoản 1 Điều 4)</w:t>
            </w:r>
          </w:p>
        </w:tc>
        <w:tc>
          <w:tcPr>
            <w:tcW w:w="1530" w:type="dxa"/>
            <w:vMerge/>
          </w:tcPr>
          <w:p w14:paraId="17C11D5D" w14:textId="172E5D5E" w:rsidR="005F3A50" w:rsidRPr="00D13A88" w:rsidRDefault="005F3A50">
            <w:pPr>
              <w:rPr>
                <w:rFonts w:ascii="Times New Roman" w:hAnsi="Times New Roman"/>
                <w:color w:val="000000" w:themeColor="text1"/>
                <w:sz w:val="24"/>
                <w:szCs w:val="24"/>
              </w:rPr>
            </w:pPr>
          </w:p>
        </w:tc>
        <w:tc>
          <w:tcPr>
            <w:tcW w:w="4050" w:type="dxa"/>
          </w:tcPr>
          <w:p w14:paraId="6D99CB5F" w14:textId="1C810551"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 xml:space="preserve">Đề nghị bổ sung cụm “và tác động” vào nguyên tắc gắn kết quả đầu ra </w:t>
            </w:r>
            <w:r w:rsidRPr="00D13A88">
              <w:rPr>
                <w:rFonts w:ascii="Times New Roman" w:hAnsi="Times New Roman"/>
                <w:color w:val="000000" w:themeColor="text1"/>
                <w:sz w:val="24"/>
                <w:szCs w:val="24"/>
              </w:rPr>
              <w:lastRenderedPageBreak/>
              <w:t>(khoản 1 Điều 4), phân biệt output (ví dụ số bằng sáng chế) với outcome (ví dụ số bằng sáng chế được doanh nghiệp sử dụng, tạo doanh thu).</w:t>
            </w:r>
          </w:p>
        </w:tc>
        <w:tc>
          <w:tcPr>
            <w:tcW w:w="6791" w:type="dxa"/>
          </w:tcPr>
          <w:p w14:paraId="23ECCF50" w14:textId="65DD08A6" w:rsidR="005F3A50" w:rsidRPr="00D13A88" w:rsidRDefault="007B6D76" w:rsidP="000123C5">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lastRenderedPageBreak/>
              <w:t>TIẾP THU</w:t>
            </w:r>
            <w:r w:rsidRPr="00D13A88">
              <w:rPr>
                <w:rFonts w:ascii="Times New Roman" w:hAnsi="Times New Roman"/>
                <w:color w:val="000000" w:themeColor="text1"/>
                <w:sz w:val="24"/>
                <w:szCs w:val="24"/>
              </w:rPr>
              <w:t xml:space="preserve">. Nội dung “tác động” (outcome) mà góp ý đề nghị bổ sung đã được thể hiện tại điểm a khoản 7 Điều 4: việc hỗ trợ được đánh giá, nghiệm thu dựa trên “kết quả đầu ra, hiệu quả khai thác </w:t>
            </w:r>
            <w:r w:rsidRPr="00D13A88">
              <w:rPr>
                <w:rFonts w:ascii="Times New Roman" w:hAnsi="Times New Roman"/>
                <w:color w:val="000000" w:themeColor="text1"/>
                <w:sz w:val="24"/>
                <w:szCs w:val="24"/>
              </w:rPr>
              <w:lastRenderedPageBreak/>
              <w:t>thực tế và mức độ đó</w:t>
            </w:r>
            <w:r w:rsidR="000123C5" w:rsidRPr="00D13A88">
              <w:rPr>
                <w:rFonts w:ascii="Times New Roman" w:hAnsi="Times New Roman"/>
                <w:color w:val="000000" w:themeColor="text1"/>
                <w:sz w:val="24"/>
                <w:szCs w:val="24"/>
              </w:rPr>
              <w:t xml:space="preserve">ng góp vào phát triển kinh tế - </w:t>
            </w:r>
            <w:r w:rsidRPr="00D13A88">
              <w:rPr>
                <w:rFonts w:ascii="Times New Roman" w:hAnsi="Times New Roman"/>
                <w:color w:val="000000" w:themeColor="text1"/>
                <w:sz w:val="24"/>
                <w:szCs w:val="24"/>
              </w:rPr>
              <w:t>xã hội của Thành phố”, bảo đảm đánh giá theo cả output và outcome như góp ý.</w:t>
            </w:r>
          </w:p>
        </w:tc>
      </w:tr>
      <w:tr w:rsidR="00D13A88" w:rsidRPr="00D13A88" w14:paraId="4C7A060C" w14:textId="77777777" w:rsidTr="000123C5">
        <w:tc>
          <w:tcPr>
            <w:tcW w:w="2047" w:type="dxa"/>
          </w:tcPr>
          <w:p w14:paraId="0B29ADEF" w14:textId="77777777"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lastRenderedPageBreak/>
              <w:t>Nguyên tắc chấp nhận rủi ro, loại trừ trách nhiệm (khoản 5, khoản 7 Điều 4)</w:t>
            </w:r>
          </w:p>
        </w:tc>
        <w:tc>
          <w:tcPr>
            <w:tcW w:w="1530" w:type="dxa"/>
            <w:vMerge/>
          </w:tcPr>
          <w:p w14:paraId="36074509" w14:textId="6380E9A6" w:rsidR="005F3A50" w:rsidRPr="00D13A88" w:rsidRDefault="005F3A50">
            <w:pPr>
              <w:rPr>
                <w:rFonts w:ascii="Times New Roman" w:hAnsi="Times New Roman"/>
                <w:color w:val="000000" w:themeColor="text1"/>
                <w:sz w:val="24"/>
                <w:szCs w:val="24"/>
              </w:rPr>
            </w:pPr>
          </w:p>
        </w:tc>
        <w:tc>
          <w:tcPr>
            <w:tcW w:w="4050" w:type="dxa"/>
          </w:tcPr>
          <w:p w14:paraId="512AE48B" w14:textId="20FD8F71"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Đề nghị không quy định miễn trừ trách nhiệm pháp lý tuyệt đối ngoài luật; cần tách bạch rủi ro khoa học khách quan/bất khả kháng/quyết định quản trị hợp lý nhưng thất bại, với sơ suất/quản lý yếu kém/xung đột lợi ích/gian lận.</w:t>
            </w:r>
          </w:p>
        </w:tc>
        <w:tc>
          <w:tcPr>
            <w:tcW w:w="6791" w:type="dxa"/>
          </w:tcPr>
          <w:p w14:paraId="6E2ACA99" w14:textId="0C76CE94" w:rsidR="005F3A50" w:rsidRPr="00D13A88" w:rsidRDefault="007B6D76" w:rsidP="000123C5">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 MỘT PHẦN</w:t>
            </w:r>
            <w:r w:rsidRPr="00D13A88">
              <w:rPr>
                <w:rFonts w:ascii="Times New Roman" w:hAnsi="Times New Roman"/>
                <w:color w:val="000000" w:themeColor="text1"/>
                <w:sz w:val="24"/>
                <w:szCs w:val="24"/>
              </w:rPr>
              <w:t xml:space="preserve">. </w:t>
            </w:r>
            <w:r w:rsidR="000123C5" w:rsidRPr="00D13A88">
              <w:rPr>
                <w:rFonts w:ascii="Times New Roman" w:hAnsi="Times New Roman"/>
                <w:color w:val="000000" w:themeColor="text1"/>
                <w:sz w:val="24"/>
                <w:szCs w:val="24"/>
              </w:rPr>
              <w:t>C</w:t>
            </w:r>
            <w:r w:rsidRPr="00D13A88">
              <w:rPr>
                <w:rFonts w:ascii="Times New Roman" w:hAnsi="Times New Roman"/>
                <w:color w:val="000000" w:themeColor="text1"/>
                <w:sz w:val="24"/>
                <w:szCs w:val="24"/>
              </w:rPr>
              <w:t>ụm từ “loại trừ trách nhiệm pháp lý” tại khoản 7 điểm b Điều 4 cần tiếp tục được rà soát, giới hạn chỉ ở việc miễn, giảm nghĩa vụ hoàn trả kinh phí, giá trị ưu đãi đã cấp, không mở rộng sang miễn trừ trách nhiệm hình sự, hành chính, dân sự khác, phù hợp Điều 9 Luật số 93/2025/QH15. Việc tách bạch nguyên nhân khách quan/bất khả kháng với hành vi gian lận, cố ý vi phạm đã được thể hiện tại khoản 5 (“không có hành vi gian lận, cố ý vi phạm pháp luật”), khoản 7 điểm b và khoản 3 Điều 15 (chỉ miễn, giảm khi nguyên nhân khách quan được Hội đồng tư vấn xác nhận).</w:t>
            </w:r>
          </w:p>
        </w:tc>
      </w:tr>
      <w:tr w:rsidR="00D13A88" w:rsidRPr="00D13A88" w14:paraId="302EBCC4" w14:textId="77777777" w:rsidTr="000123C5">
        <w:tc>
          <w:tcPr>
            <w:tcW w:w="2047" w:type="dxa"/>
          </w:tcPr>
          <w:p w14:paraId="2CB29CC2" w14:textId="7A2EDDA6"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Phân ngưỡng thẩm quyền xét duyệt theo giá trị hỗ trợ (khoản 6 Điều 4)</w:t>
            </w:r>
          </w:p>
        </w:tc>
        <w:tc>
          <w:tcPr>
            <w:tcW w:w="1530" w:type="dxa"/>
            <w:vMerge/>
          </w:tcPr>
          <w:p w14:paraId="4137EBAD" w14:textId="77777777" w:rsidR="005F3A50" w:rsidRPr="00D13A88" w:rsidRDefault="005F3A50">
            <w:pPr>
              <w:rPr>
                <w:rFonts w:ascii="Times New Roman" w:hAnsi="Times New Roman"/>
                <w:color w:val="000000" w:themeColor="text1"/>
                <w:sz w:val="24"/>
                <w:szCs w:val="24"/>
              </w:rPr>
            </w:pPr>
          </w:p>
        </w:tc>
        <w:tc>
          <w:tcPr>
            <w:tcW w:w="4050" w:type="dxa"/>
          </w:tcPr>
          <w:p w14:paraId="7280C3C7" w14:textId="77777777"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Không đồng tình việc mọi hồ sơ đều phải qua Hội đồng tư vấn; đề nghị phân ngưỡng: mức nhỏ xét tự động theo tiêu chí, mức vừa qua chuyên gia độc lập, mức lớn/đồng đầu tư mới qua Hội đồng, tránh chính sách “chết vì thủ tục”.</w:t>
            </w:r>
          </w:p>
        </w:tc>
        <w:tc>
          <w:tcPr>
            <w:tcW w:w="6791" w:type="dxa"/>
          </w:tcPr>
          <w:p w14:paraId="018BBC18" w14:textId="6BABFF5D" w:rsidR="005F3A50" w:rsidRPr="00D13A88" w:rsidRDefault="007B6D76" w:rsidP="00353DE1">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GIẢI TRÌNH</w:t>
            </w:r>
            <w:r w:rsidRPr="00D13A88">
              <w:rPr>
                <w:rFonts w:ascii="Times New Roman" w:hAnsi="Times New Roman"/>
                <w:color w:val="000000" w:themeColor="text1"/>
                <w:sz w:val="24"/>
                <w:szCs w:val="24"/>
              </w:rPr>
              <w:t xml:space="preserve">. Dự thảo hiện hành chưa thiết kế cơ chế phân ngưỡng thẩm quyền xét duyệt theo giá trị hỗ trợ như đề xuất; khoản 6 Điều 4 vẫn quy định việc xét chọn đối tượng hưởng ưu đãi, hỗ trợ tại Điều 6, Điều 7, Điều 10 thực hiện thông qua Hội đồng tư vấn (Điều 14). Tuy nhiên, điểm d khoản 2 Điều 6 đã có ngoại lệ: hình thức tài trợ nhiệm vụ đổi mới sáng tạo (áp dụng cho tổ chức ngoài công lập, doanh nghiệp đồng đầu tư) “không bắt buộc áp dụng đầy đủ quy trình quy định tại Điều 11, Điều 12”. Ghi nhận ý kiến về nguy cơ thủ tục </w:t>
            </w:r>
            <w:r w:rsidR="00353DE1" w:rsidRPr="00D13A88">
              <w:rPr>
                <w:rFonts w:ascii="Times New Roman" w:hAnsi="Times New Roman"/>
                <w:color w:val="000000" w:themeColor="text1"/>
                <w:sz w:val="24"/>
                <w:szCs w:val="24"/>
              </w:rPr>
              <w:t>kéo dài</w:t>
            </w:r>
            <w:r w:rsidRPr="00D13A88">
              <w:rPr>
                <w:rFonts w:ascii="Times New Roman" w:hAnsi="Times New Roman"/>
                <w:color w:val="000000" w:themeColor="text1"/>
                <w:sz w:val="24"/>
                <w:szCs w:val="24"/>
              </w:rPr>
              <w:t xml:space="preserve"> đối với khoản hỗ trợ giá trị nhỏ để</w:t>
            </w:r>
            <w:r w:rsidR="00353DE1" w:rsidRPr="00D13A88">
              <w:rPr>
                <w:rFonts w:ascii="Times New Roman" w:hAnsi="Times New Roman"/>
                <w:color w:val="000000" w:themeColor="text1"/>
                <w:sz w:val="24"/>
                <w:szCs w:val="24"/>
              </w:rPr>
              <w:t xml:space="preserve"> trình </w:t>
            </w:r>
            <w:r w:rsidRPr="00D13A88">
              <w:rPr>
                <w:rFonts w:ascii="Times New Roman" w:hAnsi="Times New Roman"/>
                <w:color w:val="000000" w:themeColor="text1"/>
                <w:sz w:val="24"/>
                <w:szCs w:val="24"/>
              </w:rPr>
              <w:t>Ủy ban nhân dân Thành phố cân nhắc khi quy định chi tiết thành phần, quy trình làm việc của Hội đồng tư vấn tại khoản 4 Điều 12.</w:t>
            </w:r>
          </w:p>
        </w:tc>
      </w:tr>
      <w:tr w:rsidR="00D13A88" w:rsidRPr="00D13A88" w14:paraId="1FDF30C7" w14:textId="77777777" w:rsidTr="000123C5">
        <w:tc>
          <w:tcPr>
            <w:tcW w:w="2047" w:type="dxa"/>
          </w:tcPr>
          <w:p w14:paraId="063971DD" w14:textId="080DE2EB"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Quyền sở hữu tài sản hình thành từ kinh phí hỗ trợ (khoản 10 Điều 4)</w:t>
            </w:r>
          </w:p>
        </w:tc>
        <w:tc>
          <w:tcPr>
            <w:tcW w:w="1530" w:type="dxa"/>
            <w:vMerge/>
          </w:tcPr>
          <w:p w14:paraId="287D4A09" w14:textId="061D41FC" w:rsidR="005F3A50" w:rsidRPr="00D13A88" w:rsidRDefault="005F3A50">
            <w:pPr>
              <w:rPr>
                <w:rFonts w:ascii="Times New Roman" w:hAnsi="Times New Roman"/>
                <w:color w:val="000000" w:themeColor="text1"/>
                <w:sz w:val="24"/>
                <w:szCs w:val="24"/>
              </w:rPr>
            </w:pPr>
          </w:p>
        </w:tc>
        <w:tc>
          <w:tcPr>
            <w:tcW w:w="4050" w:type="dxa"/>
          </w:tcPr>
          <w:p w14:paraId="2C108A10" w14:textId="2E983E98"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 xml:space="preserve">Đề nghị không giữ nguyên quy định tài sản mặc nhiên thuộc sở hữu tổ chức được hỗ trợ; cần phân biệt theo nguồn vốn, hình thức hỗ trợ, thỏa thuận đồng đầu tư, thời hạn, nghĩa vụ dùng </w:t>
            </w:r>
            <w:r w:rsidRPr="00D13A88">
              <w:rPr>
                <w:rFonts w:ascii="Times New Roman" w:hAnsi="Times New Roman"/>
                <w:color w:val="000000" w:themeColor="text1"/>
                <w:sz w:val="24"/>
                <w:szCs w:val="24"/>
              </w:rPr>
              <w:lastRenderedPageBreak/>
              <w:t>chung, xử lý khi phá sản, chuyển nhượng.</w:t>
            </w:r>
          </w:p>
        </w:tc>
        <w:tc>
          <w:tcPr>
            <w:tcW w:w="6791" w:type="dxa"/>
          </w:tcPr>
          <w:p w14:paraId="50306E76" w14:textId="521846B8" w:rsidR="005F3A50" w:rsidRPr="00D13A88" w:rsidRDefault="007B6D76" w:rsidP="000123C5">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lastRenderedPageBreak/>
              <w:t>TIẾP THU</w:t>
            </w:r>
            <w:r w:rsidRPr="00D13A88">
              <w:rPr>
                <w:rFonts w:ascii="Times New Roman" w:hAnsi="Times New Roman"/>
                <w:color w:val="000000" w:themeColor="text1"/>
                <w:sz w:val="24"/>
                <w:szCs w:val="24"/>
              </w:rPr>
              <w:t xml:space="preserve">. </w:t>
            </w:r>
            <w:r w:rsidR="000123C5" w:rsidRPr="00D13A88">
              <w:rPr>
                <w:rFonts w:ascii="Times New Roman" w:hAnsi="Times New Roman"/>
                <w:color w:val="000000" w:themeColor="text1"/>
                <w:sz w:val="24"/>
                <w:szCs w:val="24"/>
              </w:rPr>
              <w:t>D</w:t>
            </w:r>
            <w:r w:rsidRPr="00D13A88">
              <w:rPr>
                <w:rFonts w:ascii="Times New Roman" w:hAnsi="Times New Roman"/>
                <w:color w:val="000000" w:themeColor="text1"/>
                <w:sz w:val="24"/>
                <w:szCs w:val="24"/>
              </w:rPr>
              <w:t xml:space="preserve">ự thảo hiện hành đã bổ sung quy định phân biệt theo hình thức hỗ trợ — khoản 10 Điều 4 là nguyên tắc chung (tài sản thuộc sở hữu tổ chức được hỗ trợ, trừ trường hợp pháp luật có quy định khác); điểm c khoản 2 Điều 6 quy định riêng cho trường hợp đồng đầu tư (quyền sở hữu, khai thác theo tỷ lệ đóng góp kinh phí, Nhà nước được quyền sử dụng miễn phí, không độc quyền khi cần </w:t>
            </w:r>
            <w:r w:rsidRPr="00D13A88">
              <w:rPr>
                <w:rFonts w:ascii="Times New Roman" w:hAnsi="Times New Roman"/>
                <w:color w:val="000000" w:themeColor="text1"/>
                <w:sz w:val="24"/>
                <w:szCs w:val="24"/>
              </w:rPr>
              <w:lastRenderedPageBreak/>
              <w:t>phục vụ mục đích công vụ); khoản 3 Điều 6 và Điều 10 quy định riêng đối với hạ tầng Nhóm 3 (thuộc sở hữu nhà nước, tổ chức chỉ được quyền thuê, sử dụng theo ưu đãi).</w:t>
            </w:r>
          </w:p>
        </w:tc>
      </w:tr>
      <w:tr w:rsidR="00D13A88" w:rsidRPr="00D13A88" w14:paraId="74DCC001" w14:textId="77777777" w:rsidTr="000123C5">
        <w:tc>
          <w:tcPr>
            <w:tcW w:w="2047" w:type="dxa"/>
          </w:tcPr>
          <w:p w14:paraId="50AF890A" w14:textId="77777777"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lastRenderedPageBreak/>
              <w:t>Điều kiện, tiêu chí hỗ trợ (nay Điều 11) — thời hạn cam kết, nghĩa vụ thuế, ngưỡng công suất, bộ chỉ tiêu đánh giá</w:t>
            </w:r>
          </w:p>
        </w:tc>
        <w:tc>
          <w:tcPr>
            <w:tcW w:w="1530" w:type="dxa"/>
            <w:vMerge/>
          </w:tcPr>
          <w:p w14:paraId="1CBF993C" w14:textId="615E0AFD" w:rsidR="005F3A50" w:rsidRPr="00D13A88" w:rsidRDefault="005F3A50">
            <w:pPr>
              <w:rPr>
                <w:rFonts w:ascii="Times New Roman" w:hAnsi="Times New Roman"/>
                <w:color w:val="000000" w:themeColor="text1"/>
                <w:sz w:val="24"/>
                <w:szCs w:val="24"/>
              </w:rPr>
            </w:pPr>
          </w:p>
        </w:tc>
        <w:tc>
          <w:tcPr>
            <w:tcW w:w="4050" w:type="dxa"/>
          </w:tcPr>
          <w:p w14:paraId="09E9A475" w14:textId="77777777"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(i) Thời hạn cam kết duy trì hoạt động tối thiểu 05 năm chưa tương xứng với thời gian hưởng ưu đãi thuê đất 10 năm; (ii) yêu cầu “phát sinh nghĩa vụ kê khai, nộp thuế tại Thành phố” quá cứng với viện/trường trung ương; (iii) “không nợ thuế, bảo hiểm xã hội” nên trừ trường hợp đang gia hạn/khoanh/tranh chấp; (iv) ngưỡng khai thác tối thiểu 60% công suất chưa phù hợp mọi loại hạ tầng; (v) chỉ tiêu số sáng chế làm KPI chính có thể tạo “patent farming”, cần bộ chỉ tiêu đa dạng hơn (thương mại hóa, licensing, spin-off, việc làm, uptime…).</w:t>
            </w:r>
          </w:p>
        </w:tc>
        <w:tc>
          <w:tcPr>
            <w:tcW w:w="6791" w:type="dxa"/>
          </w:tcPr>
          <w:p w14:paraId="78AE84E0" w14:textId="39B3F074" w:rsidR="005F3A50" w:rsidRPr="00D13A88" w:rsidRDefault="007B6D76">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 MỘT PHẦN</w:t>
            </w:r>
            <w:r w:rsidRPr="00D13A88">
              <w:rPr>
                <w:rFonts w:ascii="Times New Roman" w:hAnsi="Times New Roman"/>
                <w:color w:val="000000" w:themeColor="text1"/>
                <w:sz w:val="24"/>
                <w:szCs w:val="24"/>
              </w:rPr>
              <w:t xml:space="preserve">. (i) Nội dung ưu đãi miễn, giảm tiền thuê đất 10 năm đã được lược bỏ khỏi phạm vi điểm a khoản 2 Điều </w:t>
            </w:r>
            <w:r w:rsidR="00FF5B52">
              <w:rPr>
                <w:rFonts w:ascii="Times New Roman" w:hAnsi="Times New Roman"/>
                <w:color w:val="000000" w:themeColor="text1"/>
                <w:sz w:val="24"/>
                <w:szCs w:val="24"/>
              </w:rPr>
              <w:t>30</w:t>
            </w:r>
            <w:r w:rsidRPr="00D13A88">
              <w:rPr>
                <w:rFonts w:ascii="Times New Roman" w:hAnsi="Times New Roman"/>
                <w:color w:val="000000" w:themeColor="text1"/>
                <w:sz w:val="24"/>
                <w:szCs w:val="24"/>
              </w:rPr>
              <w:t>, tương tự mục “Ưu đãi miễn, giảm tiền thuê đất” đã được Trường Đại học Luật Thành phố Hồ Chí Minh nêu), nên thời hạn cam kết 05 năm tại điểm c khoản 1 Điều 11 hiện là điều kiện độc lập, không còn gắn với ưu đãi thuê đất nên không phát sinh mâu thuẫn về thời hạn như góp ý đã nêu.</w:t>
            </w:r>
          </w:p>
          <w:p w14:paraId="102E5323" w14:textId="3FF9583B" w:rsidR="00353DE1" w:rsidRPr="00D13A88" w:rsidRDefault="007B6D76" w:rsidP="00353DE1">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 xml:space="preserve">(ii) Yêu cầu “có trụ sở chính hoặc chi nhánh trên địa bàn Thành phố, phát sinh nghĩa vụ kê khai và nộp thuế tại Thành phố” tại điểm a khoản 2 Điều 11 là biện pháp hạn chế tình trạng thành lập hình thức để hưởng ưu đãi, cần thiết giữ lại. </w:t>
            </w:r>
            <w:r w:rsidR="00353DE1" w:rsidRPr="00D13A88">
              <w:rPr>
                <w:rFonts w:ascii="Times New Roman" w:hAnsi="Times New Roman"/>
                <w:color w:val="000000" w:themeColor="text1"/>
                <w:sz w:val="24"/>
                <w:szCs w:val="24"/>
              </w:rPr>
              <w:t>Cơ quan soạn thảo g</w:t>
            </w:r>
            <w:r w:rsidRPr="00D13A88">
              <w:rPr>
                <w:rFonts w:ascii="Times New Roman" w:hAnsi="Times New Roman"/>
                <w:color w:val="000000" w:themeColor="text1"/>
                <w:sz w:val="24"/>
                <w:szCs w:val="24"/>
              </w:rPr>
              <w:t xml:space="preserve">hi nhận </w:t>
            </w:r>
            <w:r w:rsidR="00353DE1" w:rsidRPr="00D13A88">
              <w:rPr>
                <w:rFonts w:ascii="Times New Roman" w:hAnsi="Times New Roman"/>
                <w:color w:val="000000" w:themeColor="text1"/>
                <w:sz w:val="24"/>
                <w:szCs w:val="24"/>
              </w:rPr>
              <w:t>nội dung</w:t>
            </w:r>
            <w:r w:rsidRPr="00D13A88">
              <w:rPr>
                <w:rFonts w:ascii="Times New Roman" w:hAnsi="Times New Roman"/>
                <w:color w:val="000000" w:themeColor="text1"/>
                <w:sz w:val="24"/>
                <w:szCs w:val="24"/>
              </w:rPr>
              <w:t xml:space="preserve"> </w:t>
            </w:r>
            <w:r w:rsidR="00353DE1" w:rsidRPr="00D13A88">
              <w:rPr>
                <w:rFonts w:ascii="Times New Roman" w:hAnsi="Times New Roman"/>
                <w:color w:val="000000" w:themeColor="text1"/>
                <w:sz w:val="24"/>
                <w:szCs w:val="24"/>
              </w:rPr>
              <w:t xml:space="preserve">và sẽ </w:t>
            </w:r>
            <w:r w:rsidR="00CC1682" w:rsidRPr="00D13A88">
              <w:rPr>
                <w:rFonts w:ascii="Times New Roman" w:hAnsi="Times New Roman"/>
                <w:color w:val="000000" w:themeColor="text1"/>
                <w:sz w:val="24"/>
                <w:szCs w:val="24"/>
              </w:rPr>
              <w:t>điều chỉnh</w:t>
            </w:r>
            <w:r w:rsidR="00353DE1" w:rsidRPr="00D13A88">
              <w:rPr>
                <w:rFonts w:ascii="Times New Roman" w:hAnsi="Times New Roman"/>
                <w:color w:val="000000" w:themeColor="text1"/>
                <w:sz w:val="24"/>
                <w:szCs w:val="24"/>
              </w:rPr>
              <w:t xml:space="preserve"> </w:t>
            </w:r>
            <w:r w:rsidR="00CC1682" w:rsidRPr="00D13A88">
              <w:rPr>
                <w:rFonts w:ascii="Times New Roman" w:hAnsi="Times New Roman"/>
                <w:color w:val="000000" w:themeColor="text1"/>
                <w:sz w:val="24"/>
                <w:szCs w:val="24"/>
              </w:rPr>
              <w:t xml:space="preserve">khi xây dựng </w:t>
            </w:r>
            <w:r w:rsidR="00353DE1" w:rsidRPr="00D13A88">
              <w:rPr>
                <w:rFonts w:ascii="Times New Roman" w:hAnsi="Times New Roman"/>
                <w:color w:val="000000" w:themeColor="text1"/>
                <w:sz w:val="24"/>
                <w:szCs w:val="24"/>
              </w:rPr>
              <w:t>văn bản triển khai chi tiết</w:t>
            </w:r>
            <w:r w:rsidR="000123C5" w:rsidRPr="00D13A88">
              <w:rPr>
                <w:rFonts w:ascii="Times New Roman" w:hAnsi="Times New Roman"/>
                <w:color w:val="000000" w:themeColor="text1"/>
                <w:sz w:val="24"/>
                <w:szCs w:val="24"/>
              </w:rPr>
              <w:t>.</w:t>
            </w:r>
            <w:r w:rsidRPr="00D13A88">
              <w:rPr>
                <w:rFonts w:ascii="Times New Roman" w:hAnsi="Times New Roman"/>
                <w:color w:val="000000" w:themeColor="text1"/>
                <w:sz w:val="24"/>
                <w:szCs w:val="24"/>
              </w:rPr>
              <w:t xml:space="preserve"> </w:t>
            </w:r>
          </w:p>
          <w:p w14:paraId="66FC6B0D" w14:textId="77777777" w:rsidR="00353DE1" w:rsidRPr="00D13A88" w:rsidRDefault="007B6D76" w:rsidP="00353DE1">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 xml:space="preserve">(iii) Nội dung về nợ thuế, bảo hiểm xã hội thuộc kỹ thuật xây dựng hồ sơ, được giao Ủy ban nhân dân Thành phố quy định chi tiết tại khoản 2 Điều 12; ghi nhận ý kiến để cụ thể hóa khi ban hành mẫu biểu, hồ sơ. </w:t>
            </w:r>
          </w:p>
          <w:p w14:paraId="2705313A" w14:textId="14E83E71" w:rsidR="00353DE1" w:rsidRPr="00D13A88" w:rsidRDefault="007B6D76" w:rsidP="00353DE1">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(iv) Điểm a khoản 3 Điều 11 đã cho phép áp dụng “hoặc theo lộ trình tăng trưởng đã được phê duyệt” thay vì áp cứng 60%; khoản 4 Phụ lục 01 cho thời gian 02 năm để đạt hiệu suất; tiêu chí riêng theo từng loại hạ tầng đặc thù được giao Ủy ban nhân dân Thành phố quy định chi tiết tại khoản 1 Điều 12</w:t>
            </w:r>
            <w:r w:rsidR="00CC1682" w:rsidRPr="00D13A88">
              <w:rPr>
                <w:rFonts w:ascii="Times New Roman" w:hAnsi="Times New Roman"/>
                <w:color w:val="000000" w:themeColor="text1"/>
                <w:sz w:val="24"/>
                <w:szCs w:val="24"/>
              </w:rPr>
              <w:t>.</w:t>
            </w:r>
          </w:p>
          <w:p w14:paraId="2EFCD924" w14:textId="2E7DB13D" w:rsidR="005F3A50" w:rsidRPr="00D13A88" w:rsidRDefault="007B6D76" w:rsidP="00353DE1">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 xml:space="preserve">(v) Điểm c khoản 3 Điều 11 đã quy định 03 nhóm chỉ tiêu (sáng chế, giải pháp hữu ích được bảo hộ; sản phẩm công nghệ được thương mại hóa, chuyển giao; tổ chức được ươm tạo thành công), không chỉ dựa trên số sáng chế, đã bao hàm một phần các chỉ tiêu thương mại mà góp ý đề xuất; các chỉ tiêu chi tiết hơn (giờ sử dụng, uptime, việc làm nghiên cứu và phát triển, vốn tư nhân huy động…) thuộc nội </w:t>
            </w:r>
            <w:r w:rsidRPr="00D13A88">
              <w:rPr>
                <w:rFonts w:ascii="Times New Roman" w:hAnsi="Times New Roman"/>
                <w:color w:val="000000" w:themeColor="text1"/>
                <w:sz w:val="24"/>
                <w:szCs w:val="24"/>
              </w:rPr>
              <w:lastRenderedPageBreak/>
              <w:t>dung kỹ thuật đánh giá, được giao Ủy ban nhân dân Thành phố quy định cụ thể trong hướng dẫn đánh giá hằng năm.</w:t>
            </w:r>
          </w:p>
        </w:tc>
      </w:tr>
      <w:tr w:rsidR="00D13A88" w:rsidRPr="00D13A88" w14:paraId="51DEE49C" w14:textId="77777777" w:rsidTr="000123C5">
        <w:tc>
          <w:tcPr>
            <w:tcW w:w="2047" w:type="dxa"/>
          </w:tcPr>
          <w:p w14:paraId="3646982A" w14:textId="77777777"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lastRenderedPageBreak/>
              <w:t>Nghĩa vụ miễn phí khi Thành phố huy động khẩn cấp (điểm d khoản 1 Điều 11)</w:t>
            </w:r>
          </w:p>
        </w:tc>
        <w:tc>
          <w:tcPr>
            <w:tcW w:w="1530" w:type="dxa"/>
            <w:vMerge/>
          </w:tcPr>
          <w:p w14:paraId="4C65E50F" w14:textId="694F9269" w:rsidR="005F3A50" w:rsidRPr="00D13A88" w:rsidRDefault="005F3A50">
            <w:pPr>
              <w:rPr>
                <w:rFonts w:ascii="Times New Roman" w:hAnsi="Times New Roman"/>
                <w:color w:val="000000" w:themeColor="text1"/>
                <w:sz w:val="24"/>
                <w:szCs w:val="24"/>
              </w:rPr>
            </w:pPr>
          </w:p>
        </w:tc>
        <w:tc>
          <w:tcPr>
            <w:tcW w:w="4050" w:type="dxa"/>
          </w:tcPr>
          <w:p w14:paraId="2EF8C7D8" w14:textId="38185CD8"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Đề nghị không quy định nghĩa vụ miễn phí tuyệt đối khi Thành phố huy động hạ tầng phục vụ nhiệm vụ khẩn cấp; cần theo hướng ưu tiên cung cấp, chi phí phát sinh xử lý theo thỏa thuận, trừ phần nghĩa vụ miễn phí đã xác định trong quyết định, hợp đồng hỗ trợ.</w:t>
            </w:r>
          </w:p>
        </w:tc>
        <w:tc>
          <w:tcPr>
            <w:tcW w:w="6791" w:type="dxa"/>
          </w:tcPr>
          <w:p w14:paraId="6AB5EE5F" w14:textId="0E187AEE" w:rsidR="005F3A50" w:rsidRPr="00D13A88" w:rsidRDefault="007B6D76" w:rsidP="00CC1682">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GIẢI TRÌNH</w:t>
            </w:r>
            <w:r w:rsidRPr="00D13A88">
              <w:rPr>
                <w:rFonts w:ascii="Times New Roman" w:hAnsi="Times New Roman"/>
                <w:color w:val="000000" w:themeColor="text1"/>
                <w:sz w:val="24"/>
                <w:szCs w:val="24"/>
              </w:rPr>
              <w:t>. Điểm d khoản 1 Điều 11 hiện hành vẫn giữ quy định miễn phí sử dụng khi Thành phố huy động hạ tầng phục vụ nhiệm vụ khẩn cấp, phòng, chống thiên tai, thảm họa, dịch bệnh — đây là nghĩa vụ đối ứng hợp lý đối với tổ chức đã nhận ưu đãi từ ngân sách, chỉ áp dụng trong tình huống khẩn cấp có giới hạn, phù hợp nguyên tắc đối ứng, hợp tác tại khoản 8 Điều 4. Ghi nhận ý kiến để</w:t>
            </w:r>
            <w:r w:rsidR="00CC1682" w:rsidRPr="00D13A88">
              <w:rPr>
                <w:rFonts w:ascii="Times New Roman" w:hAnsi="Times New Roman"/>
                <w:color w:val="000000" w:themeColor="text1"/>
                <w:sz w:val="24"/>
                <w:szCs w:val="24"/>
              </w:rPr>
              <w:t xml:space="preserve"> điều chỉnh nội dung văn bản do </w:t>
            </w:r>
            <w:r w:rsidRPr="00D13A88">
              <w:rPr>
                <w:rFonts w:ascii="Times New Roman" w:hAnsi="Times New Roman"/>
                <w:color w:val="000000" w:themeColor="text1"/>
                <w:sz w:val="24"/>
                <w:szCs w:val="24"/>
              </w:rPr>
              <w:t xml:space="preserve">Ủy ban nhân dân Thành phố </w:t>
            </w:r>
            <w:r w:rsidR="00CC1682" w:rsidRPr="00D13A88">
              <w:rPr>
                <w:rFonts w:ascii="Times New Roman" w:hAnsi="Times New Roman"/>
                <w:color w:val="000000" w:themeColor="text1"/>
                <w:sz w:val="24"/>
                <w:szCs w:val="24"/>
              </w:rPr>
              <w:t xml:space="preserve">triển khai </w:t>
            </w:r>
            <w:r w:rsidRPr="00D13A88">
              <w:rPr>
                <w:rFonts w:ascii="Times New Roman" w:hAnsi="Times New Roman"/>
                <w:color w:val="000000" w:themeColor="text1"/>
                <w:sz w:val="24"/>
                <w:szCs w:val="24"/>
              </w:rPr>
              <w:t>hướng dẫn xác định phạm vi, mức độ huy động hợp lý, tránh gây thiệt hại quá mức cho tổ chức.</w:t>
            </w:r>
          </w:p>
        </w:tc>
      </w:tr>
      <w:tr w:rsidR="00D13A88" w:rsidRPr="00D13A88" w14:paraId="1CED6349" w14:textId="77777777" w:rsidTr="000123C5">
        <w:tc>
          <w:tcPr>
            <w:tcW w:w="2047" w:type="dxa"/>
          </w:tcPr>
          <w:p w14:paraId="7CC1F277" w14:textId="77777777"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Cơ chế đồng đầu tư — nội dung hợp đồng (khoản 2 Điều 6)</w:t>
            </w:r>
          </w:p>
        </w:tc>
        <w:tc>
          <w:tcPr>
            <w:tcW w:w="1530" w:type="dxa"/>
            <w:vMerge/>
          </w:tcPr>
          <w:p w14:paraId="139725D0" w14:textId="77777777" w:rsidR="005F3A50" w:rsidRPr="00D13A88" w:rsidRDefault="005F3A50">
            <w:pPr>
              <w:rPr>
                <w:rFonts w:ascii="Times New Roman" w:hAnsi="Times New Roman"/>
                <w:color w:val="000000" w:themeColor="text1"/>
                <w:sz w:val="24"/>
                <w:szCs w:val="24"/>
              </w:rPr>
            </w:pPr>
          </w:p>
        </w:tc>
        <w:tc>
          <w:tcPr>
            <w:tcW w:w="4050" w:type="dxa"/>
          </w:tcPr>
          <w:p w14:paraId="6B6464F1" w14:textId="7F3B3865"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Đề nghị quy định rõ hợp đồng đồng đầu tư phải xác định tối thiểu 10 nội dung: tỷ lệ đóng góp, quyền sở hữu, quyền khai thác, thời gian hoạt động, cơ chế định giá dịch vụ, nghĩa vụ dành công suất dùng chung, quyền ưu tiên của Thành phố, xử lý tài sản khi chuyển nhượng/chấm dứt, phân bổ rủi ro, cơ chế thu hồi vốn/lợi ích của Nhà nước.</w:t>
            </w:r>
          </w:p>
        </w:tc>
        <w:tc>
          <w:tcPr>
            <w:tcW w:w="6791" w:type="dxa"/>
          </w:tcPr>
          <w:p w14:paraId="223994C2" w14:textId="49EB38CB" w:rsidR="005F3A50" w:rsidRPr="00D13A88" w:rsidRDefault="007B6D76">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 MỘT PHẦN</w:t>
            </w:r>
            <w:r w:rsidRPr="00D13A88">
              <w:rPr>
                <w:rFonts w:ascii="Times New Roman" w:hAnsi="Times New Roman"/>
                <w:color w:val="000000" w:themeColor="text1"/>
                <w:sz w:val="24"/>
                <w:szCs w:val="24"/>
              </w:rPr>
              <w:t>. Nội dung tương tự ý kiến của Trường Đại học Luật Thành phố Hồ Chí Minh (mục “Khoản 2 Điều 6”): khoản 2 Điều 6 hiện hành đã xác định rõ hình thức thực hiện là “hỗ trợ không hoàn lại” kết hợp cơ chế “nhiệm vụ đổi mới sáng tạo theo hình thức tài trợ” quy định tại khoản 2 Điều 3 Nghị định số 268/2025/NĐ-CP (không phải hình thức PPP hay góp vốn), quy định trần hỗ trợ tối đa 50% chi phí đầu tư, yêu cầu ký quỹ hoặc bảo lãnh thanh toán phần đối ứng, quyền sở hữu và khai thác theo tỷ lệ đóng góp kinh phí. Tuy nhiên, các nội dung chi tiết hơn về hợp đồng đồng đầu tư (thời gian hoạt động, cơ chế định giá dịch vụ, nghĩa vụ dành công suất dùng chung, xử lý khi phá sản, chuyển nhượng dự án, phân bổ rủi ro cụ thể…) chưa được quy định thành điều khoản riêng trong Nghị quyết — đây là nội dung có tính hợp đồng, kỹ thuật cụ thể, phù hợp giao Ủy ban nhân dân Thành phố quy định chi tiết mẫu hợp đồng, hồ sơ tại khoản 2 Điều 12, không đưa toàn bộ vào Nghị quyết.</w:t>
            </w:r>
          </w:p>
        </w:tc>
      </w:tr>
      <w:tr w:rsidR="00D13A88" w:rsidRPr="00D13A88" w14:paraId="36E9659A" w14:textId="77777777" w:rsidTr="000123C5">
        <w:tc>
          <w:tcPr>
            <w:tcW w:w="2047" w:type="dxa"/>
          </w:tcPr>
          <w:p w14:paraId="37CAEF36" w14:textId="77777777"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Tiêu chí ưu tiên theo “cấp độ công nhận” trung tâm (Điều 8)</w:t>
            </w:r>
          </w:p>
        </w:tc>
        <w:tc>
          <w:tcPr>
            <w:tcW w:w="1530" w:type="dxa"/>
            <w:vMerge/>
          </w:tcPr>
          <w:p w14:paraId="43624C20" w14:textId="6B62749F" w:rsidR="005F3A50" w:rsidRPr="00D13A88" w:rsidRDefault="005F3A50">
            <w:pPr>
              <w:rPr>
                <w:rFonts w:ascii="Times New Roman" w:hAnsi="Times New Roman"/>
                <w:color w:val="000000" w:themeColor="text1"/>
                <w:sz w:val="24"/>
                <w:szCs w:val="24"/>
              </w:rPr>
            </w:pPr>
          </w:p>
        </w:tc>
        <w:tc>
          <w:tcPr>
            <w:tcW w:w="4050" w:type="dxa"/>
          </w:tcPr>
          <w:p w14:paraId="650A43EE" w14:textId="77777777"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 xml:space="preserve">Đề nghị không lấy “cấp độ công nhận” (trung tâm cấp quốc gia, cấp tỉnh…) làm căn cứ ưu tiên hỗ trợ (status-driven funding); cần chuyển sang đánh </w:t>
            </w:r>
            <w:r w:rsidRPr="00D13A88">
              <w:rPr>
                <w:rFonts w:ascii="Times New Roman" w:hAnsi="Times New Roman"/>
                <w:color w:val="000000" w:themeColor="text1"/>
                <w:sz w:val="24"/>
                <w:szCs w:val="24"/>
              </w:rPr>
              <w:lastRenderedPageBreak/>
              <w:t>giá theo tác động thực tế: mức độ thiếu hụt tài chính thị trường, khả năng lan tỏa, khả năng kéo vốn tư nhân (impact-driven funding).</w:t>
            </w:r>
          </w:p>
        </w:tc>
        <w:tc>
          <w:tcPr>
            <w:tcW w:w="6791" w:type="dxa"/>
          </w:tcPr>
          <w:p w14:paraId="0F4F859F" w14:textId="13D149DD" w:rsidR="005F3A50" w:rsidRPr="00D13A88" w:rsidRDefault="007B6D76">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lastRenderedPageBreak/>
              <w:t>GIẢI TRÌNH</w:t>
            </w:r>
            <w:r w:rsidRPr="00D13A88">
              <w:rPr>
                <w:rFonts w:ascii="Times New Roman" w:hAnsi="Times New Roman"/>
                <w:color w:val="000000" w:themeColor="text1"/>
                <w:sz w:val="24"/>
                <w:szCs w:val="24"/>
              </w:rPr>
              <w:t xml:space="preserve">. Điều 8 hiện hành vẫn xác định đối tượng hỗ trợ theo tiêu chí cấp độ (Trung tâm đổi mới sáng tạo, Trung tâm hỗ trợ khởi nghiệp sáng tạo cấp tỉnh, cấp quốc gia theo Nghị định số 268/2025/NĐ-CP) vì đây là cơ chế “nhiệm vụ đổi mới sáng tạo” đặc </w:t>
            </w:r>
            <w:r w:rsidRPr="00D13A88">
              <w:rPr>
                <w:rFonts w:ascii="Times New Roman" w:hAnsi="Times New Roman"/>
                <w:color w:val="000000" w:themeColor="text1"/>
                <w:sz w:val="24"/>
                <w:szCs w:val="24"/>
              </w:rPr>
              <w:lastRenderedPageBreak/>
              <w:t>thù, nhằm thúc đẩy hình thành các trung tâm đạt chuẩn theo khung pháp lý quốc gia, có tiêu chí công nhận rõ ràng, thuận lợi cho công tác hậu kiểm. Việc lựa chọn dự án cụ thể trong từng cấp độ vẫn phải qua Cơ quan quản lý nhiệm vụ đổi mới sáng tạo xét duyệt theo thuyết minh nhiệm vụ (khoản 4 Điều 8), không cấp tự động theo danh hiệu. Ghi nhận định hướng đánh giá theo tác động (impact-driven) để Ủy ban nhân dân Thành phố cân nhắc bổ sung tiêu chí đánh giá tác động lan tỏa, khả năng huy động vốn tư nhân trong quy trình xét duyệt thuyết minh nhiệm vụ.</w:t>
            </w:r>
          </w:p>
        </w:tc>
      </w:tr>
      <w:tr w:rsidR="00D13A88" w:rsidRPr="00D13A88" w14:paraId="4E1FCF8E" w14:textId="77777777" w:rsidTr="000123C5">
        <w:tc>
          <w:tcPr>
            <w:tcW w:w="2047" w:type="dxa"/>
          </w:tcPr>
          <w:p w14:paraId="4E910B41" w14:textId="77777777"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lastRenderedPageBreak/>
              <w:t>Hỗ trợ sử dụng hạ tầng dùng chung — cơ chế voucher, hạn mức, công khai thông tin (Điều 10)</w:t>
            </w:r>
          </w:p>
        </w:tc>
        <w:tc>
          <w:tcPr>
            <w:tcW w:w="1530" w:type="dxa"/>
            <w:vMerge/>
          </w:tcPr>
          <w:p w14:paraId="30D3523E" w14:textId="02BCA2D9" w:rsidR="005F3A50" w:rsidRPr="00D13A88" w:rsidRDefault="005F3A50">
            <w:pPr>
              <w:rPr>
                <w:rFonts w:ascii="Times New Roman" w:hAnsi="Times New Roman"/>
                <w:color w:val="000000" w:themeColor="text1"/>
                <w:sz w:val="24"/>
                <w:szCs w:val="24"/>
              </w:rPr>
            </w:pPr>
          </w:p>
        </w:tc>
        <w:tc>
          <w:tcPr>
            <w:tcW w:w="4050" w:type="dxa"/>
          </w:tcPr>
          <w:p w14:paraId="2C9E9993" w14:textId="3909F0EA"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Đề nghị thay “giảm tối thiểu 30%” bằng mức hỗ trợ tối đa theo nhóm đối tượng; thay miễn phí toàn bộ 12 tháng bằng hạn mức cụ thể; khuyến nghị áp dụng cơ chế “voucher/tín dụng hạ tầng” (tiền đi theo người sử dụng, tạo cạnh tranh giữa các đơn vị cung cấp); đề nghị công khai đầy đủ thông tin vận hành (lịch trống, giá, booking online) qua một nền tảng chung của Thành phố (“City R&amp;D Infrastructure Marketplace”).</w:t>
            </w:r>
          </w:p>
        </w:tc>
        <w:tc>
          <w:tcPr>
            <w:tcW w:w="6791" w:type="dxa"/>
          </w:tcPr>
          <w:p w14:paraId="6B14AE24" w14:textId="77777777" w:rsidR="000123C5" w:rsidRPr="00D13A88" w:rsidRDefault="007B6D76">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 MỘT PHẦN</w:t>
            </w:r>
            <w:r w:rsidRPr="00D13A88">
              <w:rPr>
                <w:rFonts w:ascii="Times New Roman" w:hAnsi="Times New Roman"/>
                <w:color w:val="000000" w:themeColor="text1"/>
                <w:sz w:val="24"/>
                <w:szCs w:val="24"/>
              </w:rPr>
              <w:t xml:space="preserve">. Điểm a, điểm b khoản 1 Điều 10 hiện hành đã bổ sung mức trần tuyệt đối bên cạnh tỷ lệ phần trăm (không quá 300 triệu đồng/tổ chức/năm; không quá 500 triệu đồng/tổ chức), một phần đáp ứng lo ngại về mức hỗ trợ không giới hạn. Tuy nhiên, mức sàn “giảm tối thiểu 30%” áp dụng chung cho mọi nhóm đối tượng và ý tưởng cơ chế “voucher hạ tầng” chưa được thiết kế lại trong Nghị quyết — đây là mức tối thiểu do Hội đồng nhân dân Thành phố quyết định trực tiếp theo đúng nguyên tắc Nghị quyết quy định mức trần, mức sàn cụ thể, không giao khoán cho Ủy ban nhân dân Thành phố. </w:t>
            </w:r>
          </w:p>
          <w:p w14:paraId="7742A884" w14:textId="0B55867A" w:rsidR="005F3A50" w:rsidRPr="00D13A88" w:rsidRDefault="007B6D76">
            <w:pPr>
              <w:spacing w:after="80"/>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Về công khai thông tin: điểm b khoản 2 Điều 10 đã yêu cầu công khai danh mục thiết bị, chi phí và báo cáo định kỳ hiệu quả sử dụng trên Nền tảng số quản lý khoa học, công nghệ và đổi mới sáng tạo quốc gia, đáp ứng một phần yêu cầu minh bạch; các nội dung chi tiết hơn (lịch trống, đặt lịch trực tuyến) và một nền tảng riêng của Thành phố chưa được quy định, ghi nhận để Ủy ban nhân dân Thành phố nghiên cứu khi xây dựng hạ tầng dữ liệu, nền tảng số dùng chung Nhóm 3 (khoản 3 Điều 5) hoặc khi quy định chi tiết tại Điều 12.</w:t>
            </w:r>
          </w:p>
        </w:tc>
      </w:tr>
      <w:tr w:rsidR="00D13A88" w:rsidRPr="00D13A88" w14:paraId="72FB86CF" w14:textId="77777777" w:rsidTr="000123C5">
        <w:tc>
          <w:tcPr>
            <w:tcW w:w="2047" w:type="dxa"/>
          </w:tcPr>
          <w:p w14:paraId="1DC856ED" w14:textId="77777777"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 xml:space="preserve">Kiểm tra, giám sát, xử lý vi phạm — phân loại mức </w:t>
            </w:r>
            <w:r w:rsidRPr="00D13A88">
              <w:rPr>
                <w:rFonts w:ascii="Times New Roman" w:hAnsi="Times New Roman"/>
                <w:color w:val="000000" w:themeColor="text1"/>
                <w:sz w:val="24"/>
                <w:szCs w:val="24"/>
              </w:rPr>
              <w:lastRenderedPageBreak/>
              <w:t>độ, công thức hoàn trả (nay Điều 15)</w:t>
            </w:r>
          </w:p>
        </w:tc>
        <w:tc>
          <w:tcPr>
            <w:tcW w:w="1530" w:type="dxa"/>
            <w:vMerge/>
          </w:tcPr>
          <w:p w14:paraId="026EFFFF" w14:textId="77777777" w:rsidR="005F3A50" w:rsidRPr="00D13A88" w:rsidRDefault="005F3A50">
            <w:pPr>
              <w:rPr>
                <w:rFonts w:ascii="Times New Roman" w:hAnsi="Times New Roman"/>
                <w:color w:val="000000" w:themeColor="text1"/>
                <w:sz w:val="24"/>
                <w:szCs w:val="24"/>
              </w:rPr>
            </w:pPr>
          </w:p>
        </w:tc>
        <w:tc>
          <w:tcPr>
            <w:tcW w:w="4050" w:type="dxa"/>
          </w:tcPr>
          <w:p w14:paraId="4BB6A803" w14:textId="4C6B52C5"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 xml:space="preserve">Đề nghị phân biệt 3 mức độ: gian lận (thu hồi và xử lý), vi phạm quản trị </w:t>
            </w:r>
            <w:r w:rsidRPr="00D13A88">
              <w:rPr>
                <w:rFonts w:ascii="Times New Roman" w:hAnsi="Times New Roman"/>
                <w:color w:val="000000" w:themeColor="text1"/>
                <w:sz w:val="24"/>
                <w:szCs w:val="24"/>
              </w:rPr>
              <w:lastRenderedPageBreak/>
              <w:t>(thu hồi tương ứng), thất bại đổi mới sáng tạo trung thực (không phạt); đề nghị có công thức định lượng tỷ lệ hoàn trả; đề nghị tách việc thu hồi ưu đãi thuế khỏi thẩm quyền Hội đồng khoa học, giao cơ quan thuế xử lý theo pháp luật thuế.</w:t>
            </w:r>
          </w:p>
        </w:tc>
        <w:tc>
          <w:tcPr>
            <w:tcW w:w="6791" w:type="dxa"/>
          </w:tcPr>
          <w:p w14:paraId="3598287A" w14:textId="071A056E" w:rsidR="005F3A50" w:rsidRPr="00D13A88" w:rsidRDefault="007B6D76" w:rsidP="00FF5B52">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lastRenderedPageBreak/>
              <w:t>TIẾP THU MỘT PHẦN</w:t>
            </w:r>
            <w:r w:rsidRPr="00D13A88">
              <w:rPr>
                <w:rFonts w:ascii="Times New Roman" w:hAnsi="Times New Roman"/>
                <w:color w:val="000000" w:themeColor="text1"/>
                <w:sz w:val="24"/>
                <w:szCs w:val="24"/>
              </w:rPr>
              <w:t xml:space="preserve">. Khoản 2 Điều 15 hiện hành đã phân biệt các nhóm hành vi vi phạm (kê khai không trung thực — điểm b; sử dụng kinh phí sai mục đích — điểm c; không bảo đảm điều kiện duy </w:t>
            </w:r>
            <w:r w:rsidRPr="00D13A88">
              <w:rPr>
                <w:rFonts w:ascii="Times New Roman" w:hAnsi="Times New Roman"/>
                <w:color w:val="000000" w:themeColor="text1"/>
                <w:sz w:val="24"/>
                <w:szCs w:val="24"/>
              </w:rPr>
              <w:lastRenderedPageBreak/>
              <w:t>trì hoạt động — điểm d; không đạt tiêu chí do nguyên nhân chủ quan — điểm đ), và khoản 3 đã loại trừ trường hợp không đạt do nguyên nhân khách quan, bất khả kháng được Hội đồng tư vấn xác nhận — về cơ bản đáp ứng tinh thần phân loại 3 mức độ mà góp ý đề xuất. Công thức định lượng cụ thể tỷ lệ hoàn trả, trình tự, thời hạn xử lý được giao Ủy ban nhân dân Thành phố quy định chi tiết tại khoản 6 Điều 12. Riêng đề nghị tách thu hồi ưu đãi thuế: nội dung ưu đãi thuế đã được lược bỏ khỏi phạm vi Nghị quyết này nên không còn phát sinh tình huống thu hồi ưu đãi thuế trong Nghị quyết.</w:t>
            </w:r>
          </w:p>
        </w:tc>
      </w:tr>
      <w:tr w:rsidR="00D13A88" w:rsidRPr="00D13A88" w14:paraId="3461071E" w14:textId="77777777" w:rsidTr="000123C5">
        <w:tc>
          <w:tcPr>
            <w:tcW w:w="2047" w:type="dxa"/>
          </w:tcPr>
          <w:p w14:paraId="3B33AC92" w14:textId="77777777"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lastRenderedPageBreak/>
              <w:t>Hội đồng tư vấn — tách bạch chức năng, cơ chế chuyên gia linh hoạt (Điều 14)</w:t>
            </w:r>
          </w:p>
        </w:tc>
        <w:tc>
          <w:tcPr>
            <w:tcW w:w="1530" w:type="dxa"/>
            <w:vMerge/>
          </w:tcPr>
          <w:p w14:paraId="015F08D5" w14:textId="77777777" w:rsidR="005F3A50" w:rsidRPr="00D13A88" w:rsidRDefault="005F3A50">
            <w:pPr>
              <w:rPr>
                <w:rFonts w:ascii="Times New Roman" w:hAnsi="Times New Roman"/>
                <w:color w:val="000000" w:themeColor="text1"/>
                <w:sz w:val="24"/>
                <w:szCs w:val="24"/>
              </w:rPr>
            </w:pPr>
          </w:p>
        </w:tc>
        <w:tc>
          <w:tcPr>
            <w:tcW w:w="4050" w:type="dxa"/>
          </w:tcPr>
          <w:p w14:paraId="5F51F316" w14:textId="77777777"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Đề nghị tách bạch chức năng lựa chọn hồ sơ, chức năng đánh giá độc lập và chức năng quyết định xử lý tài chính để tránh xung đột vai trò; đề nghị sử dụng cơ chế “pool chuyên gia điện tử” (chọn ngẫu nhiên 3–5 chuyên gia) thay vì họp Hội đồng đầy đủ thành viên cho mọi hồ sơ.</w:t>
            </w:r>
          </w:p>
        </w:tc>
        <w:tc>
          <w:tcPr>
            <w:tcW w:w="6791" w:type="dxa"/>
          </w:tcPr>
          <w:p w14:paraId="48CC8B25" w14:textId="4BB78486" w:rsidR="005F3A50" w:rsidRPr="00D13A88" w:rsidRDefault="007B6D76">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 MỘT PHẦN</w:t>
            </w:r>
            <w:r w:rsidRPr="00D13A88">
              <w:rPr>
                <w:rFonts w:ascii="Times New Roman" w:hAnsi="Times New Roman"/>
                <w:color w:val="000000" w:themeColor="text1"/>
                <w:sz w:val="24"/>
                <w:szCs w:val="24"/>
              </w:rPr>
              <w:t>. Nội dung tương tự ý kiến của Trường Đại học Luật Thành phố Hồ Chí Minh (mục “Điều 14; khoản 1 Điều 13; khoản 2 Điều 15”): quyết định cuối cùng đã thuộc thẩm quyền Ủy ban nhân dân Thành phố (khoản 1 Điều 13, khoản 2 Điều 15), Hội đồng tư vấn chỉ đóng vai trò thẩm định, kết luận làm căn cứ, không tự quyết định. Tuy nhiên, Hội đồng tư vấn hiện vẫn đồng thời đảm nhận cả chức năng thẩm định hồ sơ, giám sát và xác nhận nguyên nhân khách quan (khoản 1 Điều 14); ghi nhận ý kiến để Ủy ban nhân dân Thành phố cân nhắc khi quy định chi tiết thành phần, nguyên tắc làm việc của Hội đồng tư vấn tại khoản 4 Điều 12, bảo đảm có đại diện cơ quan tài chính, pháp chế, tăng tính khách quan. Về đề nghị cơ chế “pool chuyên gia điện tử”, phân ngưỡng hồ sơ nhỏ không cần họp Hội đồng: ghi nhận để Ủy ban nhân dân Thành phố cân nhắc thiết kế quy trình làm việc linh hoạt khi quy định chi tiết tại khoản 4 Điều 12.</w:t>
            </w:r>
          </w:p>
        </w:tc>
      </w:tr>
      <w:tr w:rsidR="00D13A88" w:rsidRPr="00D13A88" w14:paraId="58884616" w14:textId="77777777" w:rsidTr="000123C5">
        <w:tc>
          <w:tcPr>
            <w:tcW w:w="2047" w:type="dxa"/>
          </w:tcPr>
          <w:p w14:paraId="4464A2FD" w14:textId="26A499FB"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Hỗ trợ chuyển đổi số — nội dung cụ thể hóa (liên quan khoản 4 Điều 1)</w:t>
            </w:r>
          </w:p>
        </w:tc>
        <w:tc>
          <w:tcPr>
            <w:tcW w:w="1530" w:type="dxa"/>
            <w:vMerge/>
          </w:tcPr>
          <w:p w14:paraId="338155E9" w14:textId="63E7FAB2" w:rsidR="005F3A50" w:rsidRPr="00D13A88" w:rsidRDefault="005F3A50">
            <w:pPr>
              <w:rPr>
                <w:rFonts w:ascii="Times New Roman" w:hAnsi="Times New Roman"/>
                <w:color w:val="000000" w:themeColor="text1"/>
                <w:sz w:val="24"/>
                <w:szCs w:val="24"/>
              </w:rPr>
            </w:pPr>
          </w:p>
        </w:tc>
        <w:tc>
          <w:tcPr>
            <w:tcW w:w="4050" w:type="dxa"/>
          </w:tcPr>
          <w:p w14:paraId="7ECBB8D9" w14:textId="062FD360"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 xml:space="preserve">Đề nghị viết lại nội dung hỗ trợ chuyển đổi số theo hướng vượt ra khỏi phạm vi “tin học hóa” (server, storage, cloud), bổ sung: hạ tầng dữ liệu nghiên cứu (repository, FAIR data), hệ thống phòng thí nghiệm điện tử (ELN, LIMS), </w:t>
            </w:r>
            <w:r w:rsidRPr="00D13A88">
              <w:rPr>
                <w:rFonts w:ascii="Times New Roman" w:hAnsi="Times New Roman"/>
                <w:color w:val="000000" w:themeColor="text1"/>
                <w:sz w:val="24"/>
                <w:szCs w:val="24"/>
              </w:rPr>
              <w:lastRenderedPageBreak/>
              <w:t>năng lực tính toán AI/HPC, digital twin, an toàn an ninh mạng, chuẩn dữ liệu/API, định danh số cho nhà nghiên cứu/dự án/thiết bị.</w:t>
            </w:r>
          </w:p>
        </w:tc>
        <w:tc>
          <w:tcPr>
            <w:tcW w:w="6791" w:type="dxa"/>
          </w:tcPr>
          <w:p w14:paraId="19219B63" w14:textId="51D7B9D1" w:rsidR="005F3A50" w:rsidRPr="00D13A88" w:rsidRDefault="007B6D76">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lastRenderedPageBreak/>
              <w:t>GIẢI TRÌNH</w:t>
            </w:r>
            <w:r w:rsidRPr="00D13A88">
              <w:rPr>
                <w:rFonts w:ascii="Times New Roman" w:hAnsi="Times New Roman"/>
                <w:color w:val="000000" w:themeColor="text1"/>
                <w:sz w:val="24"/>
                <w:szCs w:val="24"/>
              </w:rPr>
              <w:t xml:space="preserve">. Rà soát dự thảo hiện hành cho thấy nội dung hạ tầng chuyển đổi số phục vụ hoạt động khoa học, công nghệ, đổi mới sáng tạo được quy định phân tán tại khoản 2, khoản 3 Điều 5 (Nhóm 2, Nhóm 3) và điểm b khoản 1 Điều 7 (hỗ trợ kết nối, chia sẻ dữ liệu), nhưng dự thảo không có một Điều riêng cụ thể hóa đầy đủ nội dung “chính sách hỗ trợ chuyển đổi số cho các tổ chức hoạt động trong lĩnh </w:t>
            </w:r>
            <w:r w:rsidRPr="00D13A88">
              <w:rPr>
                <w:rFonts w:ascii="Times New Roman" w:hAnsi="Times New Roman"/>
                <w:color w:val="000000" w:themeColor="text1"/>
                <w:sz w:val="24"/>
                <w:szCs w:val="24"/>
              </w:rPr>
              <w:lastRenderedPageBreak/>
              <w:t>vực khoa học, công nghệ và đổi mới sáng tạo” đã nêu tại khoản 4 Điều 1 (phạm vi điều chỉnh).</w:t>
            </w:r>
          </w:p>
          <w:p w14:paraId="5057B98B" w14:textId="77777777"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Đây là điểm cần Bộ phận soạn thảo tiếp tục rà soát để bảo đảm tính thống nhất giữa phạm vi điều chỉnh tại Điều 1 và nội dung cụ thể hóa tại Chương II, Chương III; có thể cân nhắc bổ sung các nội dung cụ thể hơn về hỗ trợ chuyển đổi số (hệ thống phòng thí nghiệm điện tử, an toàn an ninh mạng, chuẩn dữ liệu và khả năng liên thông…) vào khoản 2 Điều 5 hoặc Điều 7, hoặc giao Ủy ban nhân dân Thành phố quy định chi tiết danh mục dịch vụ chuyển đổi số được hỗ trợ tại Điều 12.</w:t>
            </w:r>
          </w:p>
        </w:tc>
      </w:tr>
      <w:tr w:rsidR="00D13A88" w:rsidRPr="00D13A88" w14:paraId="06C11B40" w14:textId="77777777" w:rsidTr="000123C5">
        <w:tc>
          <w:tcPr>
            <w:tcW w:w="2047" w:type="dxa"/>
          </w:tcPr>
          <w:p w14:paraId="5B727664" w14:textId="398EE7A3"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lastRenderedPageBreak/>
              <w:t>Kinh phí thực hiện — kênh giải ngân qua Quỹ (khoản 3 Điều 16)</w:t>
            </w:r>
          </w:p>
        </w:tc>
        <w:tc>
          <w:tcPr>
            <w:tcW w:w="1530" w:type="dxa"/>
            <w:vMerge/>
          </w:tcPr>
          <w:p w14:paraId="5027B21F" w14:textId="2A69DFAD" w:rsidR="005F3A50" w:rsidRPr="00D13A88" w:rsidRDefault="005F3A50">
            <w:pPr>
              <w:rPr>
                <w:rFonts w:ascii="Times New Roman" w:hAnsi="Times New Roman"/>
                <w:color w:val="000000" w:themeColor="text1"/>
                <w:sz w:val="24"/>
                <w:szCs w:val="24"/>
              </w:rPr>
            </w:pPr>
          </w:p>
        </w:tc>
        <w:tc>
          <w:tcPr>
            <w:tcW w:w="4050" w:type="dxa"/>
          </w:tcPr>
          <w:p w14:paraId="482F19CC" w14:textId="77777777"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Không nên quy định mặc nhiên toàn bộ kinh phí (kể cả chi đầu tư phát triển, chi đầu tư công) đều được cấp và giải ngân qua Quỹ Phát triển khoa học, công nghệ và đổi mới sáng tạo Thành phố; cần giữ đúng kênh tài chính tương ứng với từng loại chi theo pháp luật về ngân sách, đầu tư công.</w:t>
            </w:r>
          </w:p>
        </w:tc>
        <w:tc>
          <w:tcPr>
            <w:tcW w:w="6791" w:type="dxa"/>
          </w:tcPr>
          <w:p w14:paraId="4EC2BCB4" w14:textId="7420A97A" w:rsidR="005F3A50" w:rsidRPr="00D13A88" w:rsidRDefault="007B6D76">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 MỘT PHẦN</w:t>
            </w:r>
            <w:r w:rsidRPr="00D13A88">
              <w:rPr>
                <w:rFonts w:ascii="Times New Roman" w:hAnsi="Times New Roman"/>
                <w:color w:val="000000" w:themeColor="text1"/>
                <w:sz w:val="24"/>
                <w:szCs w:val="24"/>
              </w:rPr>
              <w:t>. Nội dung tương tự ý kiến của Trường Đại học Luật Thành phố Hồ Chí Minh (mục “Khoản 3 Điều 16; khoản 3 Điều 6”): khoản 3 Điều 16 hiện hành quy định toàn bộ kinh phí, không phân biệt chi đầu tư phát triển hay chi thường xuyên, đều được cấp và giải ngân thông qua Quỹ Phát triển khoa học, công nghệ và đổi mới sáng tạo Thành phố — đúng như lo ngại của góp ý, cần tiếp tục rà soát, làm rõ tính thống nhất với khoản 3 Điều 6 (hạ tầng Nhóm 3 do Ủy ban nhân dân Thành phố trực tiếp đầu tư bằng nguồn vốn đầu tư công, quản lý dự án theo pháp luật về đầu tư công) trước khi trình thông qua.</w:t>
            </w:r>
          </w:p>
        </w:tc>
      </w:tr>
      <w:tr w:rsidR="00D13A88" w:rsidRPr="00D13A88" w14:paraId="64D14ED1" w14:textId="77777777" w:rsidTr="000123C5">
        <w:tc>
          <w:tcPr>
            <w:tcW w:w="2047" w:type="dxa"/>
          </w:tcPr>
          <w:p w14:paraId="7867D2C5" w14:textId="77777777"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Tổ chức thực hiện — đầu mối một cửa, bộ chỉ số KPI, đánh giá độc lập định kỳ (Điều 17)</w:t>
            </w:r>
          </w:p>
        </w:tc>
        <w:tc>
          <w:tcPr>
            <w:tcW w:w="1530" w:type="dxa"/>
            <w:vMerge/>
          </w:tcPr>
          <w:p w14:paraId="799A687B" w14:textId="77777777" w:rsidR="005F3A50" w:rsidRPr="00D13A88" w:rsidRDefault="005F3A50">
            <w:pPr>
              <w:rPr>
                <w:rFonts w:ascii="Times New Roman" w:hAnsi="Times New Roman"/>
                <w:color w:val="000000" w:themeColor="text1"/>
                <w:sz w:val="24"/>
                <w:szCs w:val="24"/>
              </w:rPr>
            </w:pPr>
          </w:p>
        </w:tc>
        <w:tc>
          <w:tcPr>
            <w:tcW w:w="4050" w:type="dxa"/>
          </w:tcPr>
          <w:p w14:paraId="4CFBC90D" w14:textId="423D84B2"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 xml:space="preserve">Đề nghị xác lập một đầu mối duy nhất xử lý thủ tục (“One-stop Innovation Infrastructure Office”); bổ sung bộ chỉ số báo cáo Hội đồng nhân dân theo hướng đo lường tác động (tỷ lệ vốn tư nhân huy động trên 1 đồng ngân sách, số người sử dụng ngoài đơn vị, số sản phẩm thương mại hóa, số việc làm nghiên cứu và phát triển…) thay vì chỉ báo cáo số tiền đã chi; đề nghị tổ chức </w:t>
            </w:r>
            <w:r w:rsidRPr="00D13A88">
              <w:rPr>
                <w:rFonts w:ascii="Times New Roman" w:hAnsi="Times New Roman"/>
                <w:color w:val="000000" w:themeColor="text1"/>
                <w:sz w:val="24"/>
                <w:szCs w:val="24"/>
              </w:rPr>
              <w:lastRenderedPageBreak/>
              <w:t>đánh giá độc lập giữa kỳ (2028) và toàn diện (2030).</w:t>
            </w:r>
          </w:p>
        </w:tc>
        <w:tc>
          <w:tcPr>
            <w:tcW w:w="6791" w:type="dxa"/>
          </w:tcPr>
          <w:p w14:paraId="1E5FEA64" w14:textId="2573C4FF" w:rsidR="005F3A50" w:rsidRPr="00D13A88" w:rsidRDefault="007B6D76" w:rsidP="00CC1682">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lastRenderedPageBreak/>
              <w:t>GIẢI TRÌNH</w:t>
            </w:r>
            <w:r w:rsidRPr="00D13A88">
              <w:rPr>
                <w:rFonts w:ascii="Times New Roman" w:hAnsi="Times New Roman"/>
                <w:color w:val="000000" w:themeColor="text1"/>
                <w:sz w:val="24"/>
                <w:szCs w:val="24"/>
              </w:rPr>
              <w:t xml:space="preserve">. Khoản 2 Điều 7 đã giao Ủy ban nhân dân Thành phố phân công cơ quan đầu mối điều phối hệ thống đổi mới sáng tạo Thành phố, nhưng chưa phải là cơ chế “một cửa” xử lý toàn bộ thủ tục ưu đãi, hỗ trợ liên ngành như đề xuất. Điều 17 hiện chỉ quy định trách nhiệm báo cáo định kỳ hằng năm của Ủy ban nhân dân Thành phố cho Hội đồng nhân dân Thành phố (điểm b khoản 1), chưa quy định bộ chỉ số báo cáo cụ thể theo hướng đo lường tác động, cũng chưa có cơ chế đánh giá độc lập định kỳ theo mốc thời gian cụ thể. Ghi nhận các đề xuất về cơ chế tổ chức thực hiện để Ủy ban nhân dân </w:t>
            </w:r>
            <w:r w:rsidRPr="00D13A88">
              <w:rPr>
                <w:rFonts w:ascii="Times New Roman" w:hAnsi="Times New Roman"/>
                <w:color w:val="000000" w:themeColor="text1"/>
                <w:sz w:val="24"/>
                <w:szCs w:val="24"/>
              </w:rPr>
              <w:lastRenderedPageBreak/>
              <w:t>Thành phố cân nhắc khi xây dựng Kế hoạch triển khai và nội dung báo cáo định kỳ theo Điều 17.</w:t>
            </w:r>
          </w:p>
        </w:tc>
      </w:tr>
      <w:tr w:rsidR="00D13A88" w:rsidRPr="00D13A88" w14:paraId="5814EB14" w14:textId="77777777" w:rsidTr="000123C5">
        <w:tc>
          <w:tcPr>
            <w:tcW w:w="2047" w:type="dxa"/>
          </w:tcPr>
          <w:p w14:paraId="370306EA" w14:textId="01FD6D4F"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lastRenderedPageBreak/>
              <w:t>Đề xuất bổ sung các cơ chế mới (đặt hàng năng lực hạ tầng, Build–Operate–Share, Matching Fund theo milestone, Infrastructure Voucher, không đầu tư trùng lặp, Living Lab đô thị)</w:t>
            </w:r>
          </w:p>
        </w:tc>
        <w:tc>
          <w:tcPr>
            <w:tcW w:w="1530" w:type="dxa"/>
            <w:vMerge/>
          </w:tcPr>
          <w:p w14:paraId="2654C779" w14:textId="19CAC624" w:rsidR="005F3A50" w:rsidRPr="00D13A88" w:rsidRDefault="005F3A50">
            <w:pPr>
              <w:rPr>
                <w:rFonts w:ascii="Times New Roman" w:hAnsi="Times New Roman"/>
                <w:color w:val="000000" w:themeColor="text1"/>
                <w:sz w:val="24"/>
                <w:szCs w:val="24"/>
              </w:rPr>
            </w:pPr>
          </w:p>
        </w:tc>
        <w:tc>
          <w:tcPr>
            <w:tcW w:w="4050" w:type="dxa"/>
          </w:tcPr>
          <w:p w14:paraId="3F536FFC" w14:textId="77777777"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Kiến nghị cân nhắc bổ sung 6 cơ chế: (1) đặt hàng “năng lực hạ tầng” thay vì đầu tư tài sản (Infrastructure-as-a-Service); (2) cơ chế “Build–Operate–Share” (doanh nghiệp xây, vận hành, đổi lại ưu đãi và nghĩa vụ mở công suất); (3) “Matching Fund” giải ngân theo milestone; (4) “Infrastructure Voucher”; (5) nguyên tắc không đầu tư trùng lặp, kết nối hạ tầng trường — viện — doanh nghiệp sẵn có; (6) coi không gian đô thị thực tế là một loại hạ tầng đổi mới sáng tạo (Living Lab).</w:t>
            </w:r>
          </w:p>
        </w:tc>
        <w:tc>
          <w:tcPr>
            <w:tcW w:w="6791" w:type="dxa"/>
          </w:tcPr>
          <w:p w14:paraId="2E4F6E20" w14:textId="51E866E9" w:rsidR="005F3A50" w:rsidRPr="00D13A88" w:rsidRDefault="007B6D76">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 MỘT PHẦN</w:t>
            </w:r>
            <w:r w:rsidRPr="00D13A88">
              <w:rPr>
                <w:rFonts w:ascii="Times New Roman" w:hAnsi="Times New Roman"/>
                <w:color w:val="000000" w:themeColor="text1"/>
                <w:sz w:val="24"/>
                <w:szCs w:val="24"/>
              </w:rPr>
              <w:t xml:space="preserve">. Đây là các đề xuất về mô hình, cơ chế triển khai có giá trị tham khảo cho định hướng phát triển hạ tầng khoa học, công nghệ, đổi mới sáng tạo của Thành phố. Riêng nguyên tắc “không đầu tư trùng lặp”: </w:t>
            </w:r>
            <w:r w:rsidR="00CC1682" w:rsidRPr="00D13A88">
              <w:rPr>
                <w:rFonts w:ascii="Times New Roman" w:hAnsi="Times New Roman"/>
                <w:color w:val="000000" w:themeColor="text1"/>
                <w:sz w:val="24"/>
                <w:szCs w:val="24"/>
              </w:rPr>
              <w:t>C</w:t>
            </w:r>
            <w:r w:rsidRPr="00D13A88">
              <w:rPr>
                <w:rFonts w:ascii="Times New Roman" w:hAnsi="Times New Roman"/>
                <w:color w:val="000000" w:themeColor="text1"/>
                <w:sz w:val="24"/>
                <w:szCs w:val="24"/>
              </w:rPr>
              <w:t>ân nhắc bổ sung một nguyên tắc tại Điều 4 theo hướng trước khi quyết định đầu tư mới hạ tầng có giá trị lớn, phải đánh giá khả năng sử dụng hạ tầng tương đương hiện có trên địa bàn Thành phố — đây là nội dung nguyên tắc, không phải quy định chi tiết, phù hợp đưa vào Nghị quyết mà không làm thay đổi cấu trúc tổng thể.</w:t>
            </w:r>
          </w:p>
          <w:p w14:paraId="09B4E23B" w14:textId="4385DBDA" w:rsidR="005F3A50" w:rsidRPr="00D13A88" w:rsidRDefault="007B6D76" w:rsidP="00FF5B52">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 xml:space="preserve">Các cơ chế còn lại (đặt hàng năng lực hạ tầng, Build–Operate–Share, Matching Fund theo milestone, Infrastructure Voucher, Living Lab đô thị) là phương thức tài chính, phương thức triển khai cụ thể, không thuộc nội dung khung cơ chế, chính sách mà điểm a khoản 2 Điều </w:t>
            </w:r>
            <w:r w:rsidR="00FF5B52">
              <w:rPr>
                <w:rFonts w:ascii="Times New Roman" w:hAnsi="Times New Roman"/>
                <w:color w:val="000000" w:themeColor="text1"/>
                <w:sz w:val="24"/>
                <w:szCs w:val="24"/>
              </w:rPr>
              <w:t>30</w:t>
            </w:r>
            <w:r w:rsidRPr="00D13A88">
              <w:rPr>
                <w:rFonts w:ascii="Times New Roman" w:hAnsi="Times New Roman"/>
                <w:color w:val="000000" w:themeColor="text1"/>
                <w:sz w:val="24"/>
                <w:szCs w:val="24"/>
              </w:rPr>
              <w:t xml:space="preserve"> dự thảo Luật Phát triển đô thị giao cho Hội đồng nhân dân Thành phố quy định; việc huy động, sử dụng nguồn lực theo các hình thức hợp tác công — tư và hình thức khác thuộc thẩm quyền Ủy ban nhân dân Thành phố theo điểm b khoản 3 Điều </w:t>
            </w:r>
            <w:r w:rsidR="00FF5B52">
              <w:rPr>
                <w:rFonts w:ascii="Times New Roman" w:hAnsi="Times New Roman"/>
                <w:color w:val="000000" w:themeColor="text1"/>
                <w:sz w:val="24"/>
                <w:szCs w:val="24"/>
              </w:rPr>
              <w:t>30</w:t>
            </w:r>
            <w:r w:rsidRPr="00D13A88">
              <w:rPr>
                <w:rFonts w:ascii="Times New Roman" w:hAnsi="Times New Roman"/>
                <w:color w:val="000000" w:themeColor="text1"/>
                <w:sz w:val="24"/>
                <w:szCs w:val="24"/>
              </w:rPr>
              <w:t xml:space="preserve"> dự thảo Luật. Ghi nhận toàn bộ đề xuất để nghiên cứu, thiết kế trong Đề án, Chương trình và văn bản hướng dẫn thực hiện Nghị quyết (Điều 12, Điều 17), không đưa trực tiếp vào Nghị quyết.</w:t>
            </w:r>
          </w:p>
        </w:tc>
      </w:tr>
      <w:tr w:rsidR="00D13A88" w:rsidRPr="00D13A88" w14:paraId="343A5FFE" w14:textId="77777777" w:rsidTr="000123C5">
        <w:tc>
          <w:tcPr>
            <w:tcW w:w="2047" w:type="dxa"/>
          </w:tcPr>
          <w:p w14:paraId="753EB6CE" w14:textId="584FE1B5"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Ưu đãi đất đai, mặt bằng, thuế; chống đầu cơ “gắn nhãn đổi mới sáng tạo” (không còn Điều, khoản tương ứng)</w:t>
            </w:r>
          </w:p>
        </w:tc>
        <w:tc>
          <w:tcPr>
            <w:tcW w:w="1530" w:type="dxa"/>
            <w:vMerge/>
          </w:tcPr>
          <w:p w14:paraId="0AE4BC95" w14:textId="77777777" w:rsidR="005F3A50" w:rsidRPr="00D13A88" w:rsidRDefault="005F3A50">
            <w:pPr>
              <w:rPr>
                <w:rFonts w:ascii="Times New Roman" w:hAnsi="Times New Roman"/>
                <w:color w:val="000000" w:themeColor="text1"/>
                <w:sz w:val="24"/>
                <w:szCs w:val="24"/>
              </w:rPr>
            </w:pPr>
          </w:p>
        </w:tc>
        <w:tc>
          <w:tcPr>
            <w:tcW w:w="4050" w:type="dxa"/>
          </w:tcPr>
          <w:p w14:paraId="395DECC5" w14:textId="77777777"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 xml:space="preserve">Đề nghị bổ sung điều khoản chống chuyển nhượng quyền hưởng ưu đãi, chuyển mục đích sử dụng dự án nhằm trục lợi (anti-land-speculation); đề nghị phân tầng mức ưu đãi đất đai, mặt bằng theo giá trị đầu tư, mức độ dùng chung, </w:t>
            </w:r>
            <w:r w:rsidRPr="00D13A88">
              <w:rPr>
                <w:rFonts w:ascii="Times New Roman" w:hAnsi="Times New Roman"/>
                <w:color w:val="000000" w:themeColor="text1"/>
                <w:sz w:val="24"/>
                <w:szCs w:val="24"/>
              </w:rPr>
              <w:lastRenderedPageBreak/>
              <w:t>thay vì áp dụng đồng mức cho mọi quy mô dự án.</w:t>
            </w:r>
          </w:p>
        </w:tc>
        <w:tc>
          <w:tcPr>
            <w:tcW w:w="6791" w:type="dxa"/>
          </w:tcPr>
          <w:p w14:paraId="30F799A2" w14:textId="63B33CE7" w:rsidR="005F3A50" w:rsidRPr="00D13A88" w:rsidRDefault="007B6D76" w:rsidP="00CC1682">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lastRenderedPageBreak/>
              <w:t>ĐÃ ĐIỀU CHỈNH LƯỢC BỎ</w:t>
            </w:r>
            <w:r w:rsidRPr="00D13A88">
              <w:rPr>
                <w:rFonts w:ascii="Times New Roman" w:hAnsi="Times New Roman"/>
                <w:color w:val="000000" w:themeColor="text1"/>
                <w:sz w:val="24"/>
                <w:szCs w:val="24"/>
              </w:rPr>
              <w:t>. Toàn bộ nội dung ưu đãi, miễn, giảm tiền thuê đất, thuê mặt bằng đã được lược bỏ khỏi phạm vi Nghị quyết này t</w:t>
            </w:r>
            <w:r w:rsidR="00CC1682" w:rsidRPr="00D13A88">
              <w:rPr>
                <w:rFonts w:ascii="Times New Roman" w:hAnsi="Times New Roman"/>
                <w:color w:val="000000" w:themeColor="text1"/>
                <w:sz w:val="24"/>
                <w:szCs w:val="24"/>
              </w:rPr>
              <w:t>rong quá trình xây dựng dự thảo</w:t>
            </w:r>
            <w:r w:rsidRPr="00D13A88">
              <w:rPr>
                <w:rFonts w:ascii="Times New Roman" w:hAnsi="Times New Roman"/>
                <w:color w:val="000000" w:themeColor="text1"/>
                <w:sz w:val="24"/>
                <w:szCs w:val="24"/>
              </w:rPr>
              <w:t>. Do đó, các đề xuất về chống đầu cơ đất đai, phân tầng mức ưu đãi đất đai, mặt bằng không còn đối tượng áp dụng trong Nghị quyết này.</w:t>
            </w:r>
          </w:p>
        </w:tc>
      </w:tr>
      <w:tr w:rsidR="00D13A88" w:rsidRPr="00D13A88" w14:paraId="3A149FEF" w14:textId="77777777" w:rsidTr="000123C5">
        <w:tc>
          <w:tcPr>
            <w:tcW w:w="2047" w:type="dxa"/>
          </w:tcPr>
          <w:p w14:paraId="78444ACF" w14:textId="7C2D72A4" w:rsidR="005F3A50" w:rsidRPr="00D13A88" w:rsidRDefault="007B6D76">
            <w:pPr>
              <w:ind w:firstLine="176"/>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lastRenderedPageBreak/>
              <w:t>Ưu đãi thuế cho doanh nghiệp khởi nghiệp sáng tạo — thẩm quyền miễn thuế thu nhập doanh nghiệp, thu nhập cá nhân (không còn Điều, khoản tương ứng)</w:t>
            </w:r>
          </w:p>
        </w:tc>
        <w:tc>
          <w:tcPr>
            <w:tcW w:w="1530" w:type="dxa"/>
            <w:vMerge/>
          </w:tcPr>
          <w:p w14:paraId="0C4295EA" w14:textId="51039C2F" w:rsidR="005F3A50" w:rsidRPr="00D13A88" w:rsidRDefault="005F3A50">
            <w:pPr>
              <w:rPr>
                <w:rFonts w:ascii="Times New Roman" w:hAnsi="Times New Roman"/>
                <w:color w:val="000000" w:themeColor="text1"/>
                <w:sz w:val="24"/>
                <w:szCs w:val="24"/>
              </w:rPr>
            </w:pPr>
          </w:p>
        </w:tc>
        <w:tc>
          <w:tcPr>
            <w:tcW w:w="4050" w:type="dxa"/>
          </w:tcPr>
          <w:p w14:paraId="1A7FB3DC" w14:textId="77777777" w:rsidR="005F3A50" w:rsidRPr="00D13A88" w:rsidRDefault="007B6D76">
            <w:pPr>
              <w:spacing w:before="120" w:after="120"/>
              <w:ind w:firstLine="567"/>
              <w:jc w:val="both"/>
              <w:rPr>
                <w:rFonts w:ascii="Times New Roman" w:hAnsi="Times New Roman"/>
                <w:color w:val="000000" w:themeColor="text1"/>
                <w:sz w:val="24"/>
                <w:szCs w:val="24"/>
              </w:rPr>
            </w:pPr>
            <w:r w:rsidRPr="00D13A88">
              <w:rPr>
                <w:rFonts w:ascii="Times New Roman" w:hAnsi="Times New Roman"/>
                <w:color w:val="000000" w:themeColor="text1"/>
                <w:sz w:val="24"/>
                <w:szCs w:val="24"/>
              </w:rPr>
              <w:t>Đề nghị làm rõ thẩm quyền của Hội đồng nhân dân Thành phố trong việc quyết định miễn thuế thu nhập doanh nghiệp, thuế thu nhập cá nhân 5 năm cho hoạt động khởi nghiệp sáng tạo; đề nghị cơ quan soạn thảo lập bảng đối chiếu thẩm quyền trước khi trình thông qua; nếu giữ nội dung này thì cần làm rõ khái niệm “thu nhập từ hoạt động khởi nghiệp sáng tạo”.</w:t>
            </w:r>
          </w:p>
        </w:tc>
        <w:tc>
          <w:tcPr>
            <w:tcW w:w="6791" w:type="dxa"/>
          </w:tcPr>
          <w:p w14:paraId="23065938" w14:textId="63B4D99B" w:rsidR="005F3A50" w:rsidRPr="00D13A88" w:rsidRDefault="007B6D76" w:rsidP="00FF5B52">
            <w:pPr>
              <w:spacing w:after="80"/>
              <w:jc w:val="both"/>
              <w:rPr>
                <w:rFonts w:ascii="Times New Roman" w:hAnsi="Times New Roman"/>
                <w:color w:val="000000" w:themeColor="text1"/>
                <w:sz w:val="24"/>
                <w:szCs w:val="24"/>
              </w:rPr>
            </w:pPr>
            <w:r w:rsidRPr="00D13A88">
              <w:rPr>
                <w:rFonts w:ascii="Times New Roman" w:hAnsi="Times New Roman"/>
                <w:b/>
                <w:color w:val="000000" w:themeColor="text1"/>
                <w:sz w:val="24"/>
                <w:szCs w:val="24"/>
              </w:rPr>
              <w:t>TIẾP THU MỘT PHẦN</w:t>
            </w:r>
            <w:r w:rsidRPr="00D13A88">
              <w:rPr>
                <w:rFonts w:ascii="Times New Roman" w:hAnsi="Times New Roman"/>
                <w:color w:val="000000" w:themeColor="text1"/>
                <w:sz w:val="24"/>
                <w:szCs w:val="24"/>
              </w:rPr>
              <w:t xml:space="preserve">. Nội dung tương tự ý kiến của Trường Đại học Luật Thành phố Hồ Chí Minh (mục “Khoản 5, khoản 7 điểm b Điều 4”): nội dung miễn thuế thu nhập doanh nghiệp, miễn thuế thu nhập cá nhân đã được lược bỏ khỏi phạm vi Nghị quyết này trong quá trình xây dựng dự thảo, do thuộc nội dung tại điểm c khoản 2 Điều </w:t>
            </w:r>
            <w:r w:rsidR="00FF5B52">
              <w:rPr>
                <w:rFonts w:ascii="Times New Roman" w:hAnsi="Times New Roman"/>
                <w:color w:val="000000" w:themeColor="text1"/>
                <w:sz w:val="24"/>
                <w:szCs w:val="24"/>
              </w:rPr>
              <w:t>30</w:t>
            </w:r>
            <w:r w:rsidRPr="00D13A88">
              <w:rPr>
                <w:rFonts w:ascii="Times New Roman" w:hAnsi="Times New Roman"/>
                <w:color w:val="000000" w:themeColor="text1"/>
                <w:sz w:val="24"/>
                <w:szCs w:val="24"/>
              </w:rPr>
              <w:t xml:space="preserve"> dự thảo Luật Phát triển đô thị (cơ chế, chính sách ưu đãi hỗ trợ nghiên cứu khoa học, đổi mới sáng tạo, khởi nghiệp sáng tạo, thương mại hóa…), không thuộc điểm a khoản 2 Điều </w:t>
            </w:r>
            <w:r w:rsidR="00FF5B52">
              <w:rPr>
                <w:rFonts w:ascii="Times New Roman" w:hAnsi="Times New Roman"/>
                <w:color w:val="000000" w:themeColor="text1"/>
                <w:sz w:val="24"/>
                <w:szCs w:val="24"/>
              </w:rPr>
              <w:t>30</w:t>
            </w:r>
            <w:bookmarkStart w:id="1" w:name="_GoBack"/>
            <w:bookmarkEnd w:id="1"/>
            <w:r w:rsidRPr="00D13A88">
              <w:rPr>
                <w:rFonts w:ascii="Times New Roman" w:hAnsi="Times New Roman"/>
                <w:color w:val="000000" w:themeColor="text1"/>
                <w:sz w:val="24"/>
                <w:szCs w:val="24"/>
              </w:rPr>
              <w:t xml:space="preserve"> được giao cho Nghị quyết này. </w:t>
            </w:r>
          </w:p>
        </w:tc>
      </w:tr>
    </w:tbl>
    <w:p w14:paraId="152A0D0D" w14:textId="77777777" w:rsidR="00460326" w:rsidRPr="00D13A88" w:rsidRDefault="00460326" w:rsidP="00187562">
      <w:pPr>
        <w:spacing w:before="120" w:after="120"/>
        <w:ind w:firstLine="567"/>
        <w:jc w:val="both"/>
        <w:rPr>
          <w:rFonts w:ascii="Times New Roman" w:hAnsi="Times New Roman"/>
          <w:b/>
          <w:color w:val="000000" w:themeColor="text1"/>
          <w:sz w:val="28"/>
          <w:szCs w:val="28"/>
        </w:rPr>
      </w:pPr>
      <w:r w:rsidRPr="00D13A88">
        <w:rPr>
          <w:rFonts w:ascii="Times New Roman" w:hAnsi="Times New Roman"/>
          <w:b/>
          <w:color w:val="000000" w:themeColor="text1"/>
          <w:sz w:val="28"/>
          <w:szCs w:val="28"/>
        </w:rPr>
        <w:t>C. Ý KIẾN CỦA CÁC CƠ QUAN, ĐƠN VỊ</w:t>
      </w:r>
    </w:p>
    <w:p w14:paraId="09435E27" w14:textId="77777777" w:rsidR="00460326" w:rsidRPr="00D13A88" w:rsidRDefault="00460326" w:rsidP="00187562">
      <w:pPr>
        <w:spacing w:before="120" w:after="120"/>
        <w:ind w:firstLine="567"/>
        <w:jc w:val="both"/>
        <w:rPr>
          <w:rFonts w:ascii="Times New Roman" w:hAnsi="Times New Roman"/>
          <w:color w:val="000000" w:themeColor="text1"/>
          <w:sz w:val="28"/>
          <w:szCs w:val="28"/>
        </w:rPr>
      </w:pPr>
      <w:r w:rsidRPr="00D13A88">
        <w:rPr>
          <w:rFonts w:ascii="Times New Roman" w:hAnsi="Times New Roman"/>
          <w:b/>
          <w:color w:val="000000" w:themeColor="text1"/>
          <w:sz w:val="28"/>
          <w:szCs w:val="28"/>
        </w:rPr>
        <w:t>I.</w:t>
      </w:r>
      <w:r w:rsidRPr="00D13A88">
        <w:rPr>
          <w:rFonts w:ascii="Times New Roman" w:hAnsi="Times New Roman"/>
          <w:color w:val="000000" w:themeColor="text1"/>
          <w:sz w:val="28"/>
          <w:szCs w:val="28"/>
        </w:rPr>
        <w:t xml:space="preserve"> T</w:t>
      </w:r>
      <w:r w:rsidRPr="00D13A88">
        <w:rPr>
          <w:rFonts w:ascii="Times New Roman" w:hAnsi="Times New Roman"/>
          <w:color w:val="000000" w:themeColor="text1"/>
          <w:sz w:val="28"/>
          <w:szCs w:val="28"/>
          <w:lang w:val="vi-VN"/>
        </w:rPr>
        <w:t xml:space="preserve">ổng số </w:t>
      </w:r>
      <w:r w:rsidRPr="00D13A88">
        <w:rPr>
          <w:rFonts w:ascii="Times New Roman" w:hAnsi="Times New Roman"/>
          <w:color w:val="000000" w:themeColor="text1"/>
          <w:sz w:val="28"/>
          <w:szCs w:val="28"/>
        </w:rPr>
        <w:t>các cơ quan, đơn vị đã g</w:t>
      </w:r>
      <w:r w:rsidRPr="00D13A88">
        <w:rPr>
          <w:rFonts w:ascii="Times New Roman" w:hAnsi="Times New Roman"/>
          <w:color w:val="000000" w:themeColor="text1"/>
          <w:sz w:val="28"/>
          <w:szCs w:val="28"/>
          <w:lang w:val="vi-VN"/>
        </w:rPr>
        <w:t>ửi xin </w:t>
      </w:r>
      <w:r w:rsidRPr="00D13A88">
        <w:rPr>
          <w:rFonts w:ascii="Times New Roman" w:hAnsi="Times New Roman"/>
          <w:color w:val="000000" w:themeColor="text1"/>
          <w:sz w:val="28"/>
          <w:szCs w:val="28"/>
        </w:rPr>
        <w:t>ý ki</w:t>
      </w:r>
      <w:r w:rsidRPr="00D13A88">
        <w:rPr>
          <w:rFonts w:ascii="Times New Roman" w:hAnsi="Times New Roman"/>
          <w:color w:val="000000" w:themeColor="text1"/>
          <w:sz w:val="28"/>
          <w:szCs w:val="28"/>
          <w:lang w:val="vi-VN"/>
        </w:rPr>
        <w:t>ến</w:t>
      </w:r>
      <w:r w:rsidRPr="00D13A88">
        <w:rPr>
          <w:rFonts w:ascii="Times New Roman" w:hAnsi="Times New Roman"/>
          <w:color w:val="000000" w:themeColor="text1"/>
          <w:sz w:val="28"/>
          <w:szCs w:val="28"/>
        </w:rPr>
        <w:t xml:space="preserve"> là …</w:t>
      </w:r>
      <w:r w:rsidRPr="00D13A88">
        <w:rPr>
          <w:rFonts w:ascii="Times New Roman" w:hAnsi="Times New Roman"/>
          <w:color w:val="000000" w:themeColor="text1"/>
          <w:sz w:val="28"/>
          <w:szCs w:val="28"/>
          <w:lang w:val="vi-VN"/>
        </w:rPr>
        <w:t>.</w:t>
      </w:r>
    </w:p>
    <w:p w14:paraId="787FBB02" w14:textId="3BD4700A" w:rsidR="00460326" w:rsidRPr="00D13A88" w:rsidRDefault="00460326" w:rsidP="00187562">
      <w:pPr>
        <w:spacing w:before="120" w:after="120"/>
        <w:ind w:firstLine="567"/>
        <w:jc w:val="both"/>
        <w:rPr>
          <w:rFonts w:ascii="Times New Roman" w:hAnsi="Times New Roman"/>
          <w:color w:val="000000" w:themeColor="text1"/>
          <w:sz w:val="28"/>
          <w:szCs w:val="28"/>
        </w:rPr>
      </w:pPr>
      <w:r w:rsidRPr="00D13A88">
        <w:rPr>
          <w:rFonts w:ascii="Times New Roman" w:hAnsi="Times New Roman"/>
          <w:color w:val="000000" w:themeColor="text1"/>
          <w:sz w:val="28"/>
          <w:szCs w:val="28"/>
        </w:rPr>
        <w:t xml:space="preserve">Tính đến ngày …, </w:t>
      </w:r>
      <w:r w:rsidRPr="00D13A88">
        <w:rPr>
          <w:rFonts w:ascii="Times New Roman" w:hAnsi="Times New Roman"/>
          <w:color w:val="000000" w:themeColor="text1"/>
          <w:spacing w:val="-2"/>
          <w:sz w:val="28"/>
          <w:szCs w:val="28"/>
        </w:rPr>
        <w:t>Sở Khoa học và Công nghệ</w:t>
      </w:r>
      <w:r w:rsidRPr="00D13A88">
        <w:rPr>
          <w:rFonts w:ascii="Times New Roman" w:hAnsi="Times New Roman"/>
          <w:color w:val="000000" w:themeColor="text1"/>
          <w:sz w:val="28"/>
          <w:szCs w:val="28"/>
        </w:rPr>
        <w:t xml:space="preserve"> nhận được … văn bản phúc đáp của một số cơ quan, đơn vị;</w:t>
      </w:r>
    </w:p>
    <w:p w14:paraId="57362872" w14:textId="77777777" w:rsidR="00460326" w:rsidRPr="00D13A88" w:rsidRDefault="00460326" w:rsidP="00187562">
      <w:pPr>
        <w:spacing w:before="120" w:after="120"/>
        <w:ind w:firstLine="567"/>
        <w:jc w:val="both"/>
        <w:rPr>
          <w:rFonts w:ascii="Times New Roman" w:hAnsi="Times New Roman"/>
          <w:color w:val="000000" w:themeColor="text1"/>
          <w:sz w:val="28"/>
          <w:szCs w:val="28"/>
        </w:rPr>
      </w:pPr>
      <w:r w:rsidRPr="00D13A88">
        <w:rPr>
          <w:rFonts w:ascii="Times New Roman" w:hAnsi="Times New Roman"/>
          <w:b/>
          <w:color w:val="000000" w:themeColor="text1"/>
          <w:sz w:val="28"/>
          <w:szCs w:val="28"/>
        </w:rPr>
        <w:t>II.</w:t>
      </w:r>
      <w:r w:rsidRPr="00D13A88">
        <w:rPr>
          <w:rFonts w:ascii="Times New Roman" w:hAnsi="Times New Roman"/>
          <w:color w:val="000000" w:themeColor="text1"/>
          <w:sz w:val="28"/>
          <w:szCs w:val="28"/>
        </w:rPr>
        <w:t xml:space="preserve"> K</w:t>
      </w:r>
      <w:r w:rsidRPr="00D13A88">
        <w:rPr>
          <w:rFonts w:ascii="Times New Roman" w:hAnsi="Times New Roman"/>
          <w:color w:val="000000" w:themeColor="text1"/>
          <w:sz w:val="28"/>
          <w:szCs w:val="28"/>
          <w:lang w:val="vi-VN"/>
        </w:rPr>
        <w:t>ết quả cụ thể như sau:</w:t>
      </w:r>
    </w:p>
    <w:tbl>
      <w:tblPr>
        <w:tblStyle w:val="TableGrid"/>
        <w:tblW w:w="14418" w:type="dxa"/>
        <w:tblInd w:w="18" w:type="dxa"/>
        <w:tblLook w:val="04A0" w:firstRow="1" w:lastRow="0" w:firstColumn="1" w:lastColumn="0" w:noHBand="0" w:noVBand="1"/>
      </w:tblPr>
      <w:tblGrid>
        <w:gridCol w:w="2387"/>
        <w:gridCol w:w="3598"/>
        <w:gridCol w:w="4833"/>
        <w:gridCol w:w="3600"/>
      </w:tblGrid>
      <w:tr w:rsidR="00D13A88" w:rsidRPr="00D13A88" w14:paraId="52C95D3C" w14:textId="77777777" w:rsidTr="007F6FC4">
        <w:trPr>
          <w:trHeight w:val="780"/>
          <w:tblHeader/>
        </w:trPr>
        <w:tc>
          <w:tcPr>
            <w:tcW w:w="2387" w:type="dxa"/>
            <w:vAlign w:val="center"/>
          </w:tcPr>
          <w:p w14:paraId="53BA8CD5" w14:textId="77777777" w:rsidR="00460326" w:rsidRPr="00D13A88" w:rsidRDefault="00460326" w:rsidP="007F6FC4">
            <w:pPr>
              <w:jc w:val="center"/>
              <w:rPr>
                <w:rFonts w:ascii="Times New Roman" w:hAnsi="Times New Roman"/>
                <w:b/>
                <w:color w:val="000000" w:themeColor="text1"/>
                <w:sz w:val="26"/>
                <w:szCs w:val="26"/>
              </w:rPr>
            </w:pPr>
            <w:r w:rsidRPr="00D13A88">
              <w:rPr>
                <w:rFonts w:ascii="Times New Roman" w:hAnsi="Times New Roman"/>
                <w:b/>
                <w:color w:val="000000" w:themeColor="text1"/>
                <w:sz w:val="26"/>
                <w:szCs w:val="26"/>
              </w:rPr>
              <w:t>NHÓM VẤN ĐỀ HOẶC ĐIỀU, KHOẢN</w:t>
            </w:r>
          </w:p>
        </w:tc>
        <w:tc>
          <w:tcPr>
            <w:tcW w:w="3598" w:type="dxa"/>
            <w:vAlign w:val="center"/>
          </w:tcPr>
          <w:p w14:paraId="36B9A50A" w14:textId="77777777" w:rsidR="00460326" w:rsidRPr="00D13A88" w:rsidRDefault="00460326" w:rsidP="007F6FC4">
            <w:pPr>
              <w:jc w:val="center"/>
              <w:rPr>
                <w:rFonts w:ascii="Times New Roman" w:hAnsi="Times New Roman"/>
                <w:b/>
                <w:color w:val="000000" w:themeColor="text1"/>
                <w:sz w:val="26"/>
                <w:szCs w:val="26"/>
              </w:rPr>
            </w:pPr>
            <w:r w:rsidRPr="00D13A88">
              <w:rPr>
                <w:rFonts w:ascii="Times New Roman" w:hAnsi="Times New Roman"/>
                <w:b/>
                <w:color w:val="000000" w:themeColor="text1"/>
                <w:sz w:val="26"/>
                <w:szCs w:val="26"/>
              </w:rPr>
              <w:t>CHỦ THỂ GÓP Ý</w:t>
            </w:r>
          </w:p>
        </w:tc>
        <w:tc>
          <w:tcPr>
            <w:tcW w:w="4833" w:type="dxa"/>
            <w:vAlign w:val="center"/>
          </w:tcPr>
          <w:p w14:paraId="0AFD4C6C" w14:textId="77777777" w:rsidR="00460326" w:rsidRPr="00D13A88" w:rsidRDefault="00460326" w:rsidP="007F6FC4">
            <w:pPr>
              <w:jc w:val="center"/>
              <w:rPr>
                <w:rFonts w:ascii="Times New Roman" w:hAnsi="Times New Roman"/>
                <w:b/>
                <w:color w:val="000000" w:themeColor="text1"/>
                <w:sz w:val="26"/>
                <w:szCs w:val="26"/>
              </w:rPr>
            </w:pPr>
            <w:r w:rsidRPr="00D13A88">
              <w:rPr>
                <w:rFonts w:ascii="Times New Roman" w:hAnsi="Times New Roman"/>
                <w:b/>
                <w:color w:val="000000" w:themeColor="text1"/>
                <w:sz w:val="26"/>
                <w:szCs w:val="26"/>
              </w:rPr>
              <w:t>NỘI DUNG GÓP Ý</w:t>
            </w:r>
          </w:p>
        </w:tc>
        <w:tc>
          <w:tcPr>
            <w:tcW w:w="3600" w:type="dxa"/>
            <w:vAlign w:val="center"/>
          </w:tcPr>
          <w:p w14:paraId="32699244" w14:textId="77777777" w:rsidR="00460326" w:rsidRPr="00D13A88" w:rsidRDefault="00460326" w:rsidP="007F6FC4">
            <w:pPr>
              <w:jc w:val="center"/>
              <w:rPr>
                <w:rFonts w:ascii="Times New Roman" w:hAnsi="Times New Roman"/>
                <w:b/>
                <w:color w:val="000000" w:themeColor="text1"/>
                <w:sz w:val="26"/>
                <w:szCs w:val="26"/>
              </w:rPr>
            </w:pPr>
            <w:r w:rsidRPr="00D13A88">
              <w:rPr>
                <w:rFonts w:ascii="Times New Roman" w:hAnsi="Times New Roman"/>
                <w:b/>
                <w:color w:val="000000" w:themeColor="text1"/>
                <w:sz w:val="26"/>
                <w:szCs w:val="26"/>
              </w:rPr>
              <w:t>NỘI DUNG TIẾP THU,</w:t>
            </w:r>
          </w:p>
          <w:p w14:paraId="171D1C0A" w14:textId="77777777" w:rsidR="00460326" w:rsidRPr="00D13A88" w:rsidRDefault="00460326" w:rsidP="007F6FC4">
            <w:pPr>
              <w:jc w:val="center"/>
              <w:rPr>
                <w:rFonts w:ascii="Times New Roman" w:hAnsi="Times New Roman"/>
                <w:b/>
                <w:color w:val="000000" w:themeColor="text1"/>
                <w:sz w:val="26"/>
                <w:szCs w:val="26"/>
              </w:rPr>
            </w:pPr>
            <w:r w:rsidRPr="00D13A88">
              <w:rPr>
                <w:rFonts w:ascii="Times New Roman" w:hAnsi="Times New Roman"/>
                <w:b/>
                <w:color w:val="000000" w:themeColor="text1"/>
                <w:sz w:val="26"/>
                <w:szCs w:val="26"/>
              </w:rPr>
              <w:t>GIẢI TRÌNH</w:t>
            </w:r>
          </w:p>
        </w:tc>
      </w:tr>
      <w:tr w:rsidR="00D13A88" w:rsidRPr="00D13A88" w14:paraId="12AD0945" w14:textId="77777777" w:rsidTr="007F6FC4">
        <w:tc>
          <w:tcPr>
            <w:tcW w:w="2387" w:type="dxa"/>
          </w:tcPr>
          <w:p w14:paraId="120AAA14" w14:textId="77777777" w:rsidR="00460326" w:rsidRPr="00D13A88" w:rsidRDefault="00460326" w:rsidP="007F6FC4">
            <w:pPr>
              <w:ind w:firstLine="176"/>
              <w:jc w:val="both"/>
              <w:rPr>
                <w:rFonts w:ascii="Times New Roman" w:hAnsi="Times New Roman"/>
                <w:color w:val="000000" w:themeColor="text1"/>
                <w:sz w:val="26"/>
                <w:szCs w:val="26"/>
              </w:rPr>
            </w:pPr>
          </w:p>
        </w:tc>
        <w:tc>
          <w:tcPr>
            <w:tcW w:w="3598" w:type="dxa"/>
          </w:tcPr>
          <w:p w14:paraId="3E2B8E98" w14:textId="77777777" w:rsidR="00460326" w:rsidRPr="00D13A88" w:rsidRDefault="00460326" w:rsidP="007F6FC4">
            <w:pPr>
              <w:ind w:firstLine="176"/>
              <w:jc w:val="both"/>
              <w:rPr>
                <w:rFonts w:ascii="Times New Roman" w:hAnsi="Times New Roman"/>
                <w:color w:val="000000" w:themeColor="text1"/>
                <w:sz w:val="26"/>
                <w:szCs w:val="26"/>
              </w:rPr>
            </w:pPr>
          </w:p>
        </w:tc>
        <w:tc>
          <w:tcPr>
            <w:tcW w:w="4833" w:type="dxa"/>
          </w:tcPr>
          <w:p w14:paraId="280A2214" w14:textId="77777777" w:rsidR="00460326" w:rsidRPr="00D13A88" w:rsidRDefault="00460326" w:rsidP="007F6FC4">
            <w:pPr>
              <w:ind w:firstLine="193"/>
              <w:jc w:val="both"/>
              <w:rPr>
                <w:rFonts w:ascii="Times New Roman" w:hAnsi="Times New Roman"/>
                <w:iCs/>
                <w:color w:val="000000" w:themeColor="text1"/>
                <w:sz w:val="26"/>
                <w:szCs w:val="26"/>
              </w:rPr>
            </w:pPr>
          </w:p>
        </w:tc>
        <w:tc>
          <w:tcPr>
            <w:tcW w:w="3600" w:type="dxa"/>
          </w:tcPr>
          <w:p w14:paraId="27CA3056" w14:textId="77777777" w:rsidR="00460326" w:rsidRPr="00D13A88" w:rsidRDefault="00460326" w:rsidP="007F6FC4">
            <w:pPr>
              <w:ind w:firstLine="176"/>
              <w:jc w:val="both"/>
              <w:rPr>
                <w:rFonts w:ascii="Times New Roman" w:hAnsi="Times New Roman"/>
                <w:color w:val="000000" w:themeColor="text1"/>
                <w:sz w:val="26"/>
                <w:szCs w:val="26"/>
              </w:rPr>
            </w:pPr>
          </w:p>
        </w:tc>
      </w:tr>
      <w:tr w:rsidR="00460326" w:rsidRPr="00D13A88" w14:paraId="1F24EFFC" w14:textId="77777777" w:rsidTr="007F6FC4">
        <w:tc>
          <w:tcPr>
            <w:tcW w:w="2387" w:type="dxa"/>
          </w:tcPr>
          <w:p w14:paraId="13494E1F" w14:textId="77777777" w:rsidR="00460326" w:rsidRPr="00D13A88" w:rsidRDefault="00460326" w:rsidP="007F6FC4">
            <w:pPr>
              <w:ind w:firstLine="176"/>
              <w:jc w:val="both"/>
              <w:rPr>
                <w:rFonts w:ascii="Times New Roman" w:hAnsi="Times New Roman"/>
                <w:color w:val="000000" w:themeColor="text1"/>
                <w:sz w:val="26"/>
                <w:szCs w:val="26"/>
              </w:rPr>
            </w:pPr>
          </w:p>
        </w:tc>
        <w:tc>
          <w:tcPr>
            <w:tcW w:w="3598" w:type="dxa"/>
          </w:tcPr>
          <w:p w14:paraId="7E46BB9F" w14:textId="77777777" w:rsidR="00460326" w:rsidRPr="00D13A88" w:rsidRDefault="00460326" w:rsidP="007F6FC4">
            <w:pPr>
              <w:rPr>
                <w:rFonts w:ascii="Times New Roman" w:hAnsi="Times New Roman"/>
                <w:color w:val="000000" w:themeColor="text1"/>
                <w:sz w:val="26"/>
                <w:szCs w:val="26"/>
              </w:rPr>
            </w:pPr>
          </w:p>
        </w:tc>
        <w:tc>
          <w:tcPr>
            <w:tcW w:w="4833" w:type="dxa"/>
          </w:tcPr>
          <w:p w14:paraId="7A98C416" w14:textId="77777777" w:rsidR="00460326" w:rsidRPr="00D13A88" w:rsidRDefault="00460326" w:rsidP="007F6FC4">
            <w:pPr>
              <w:spacing w:before="120" w:after="120"/>
              <w:ind w:firstLine="567"/>
              <w:jc w:val="both"/>
              <w:rPr>
                <w:rFonts w:ascii="Times New Roman" w:hAnsi="Times New Roman"/>
                <w:i/>
                <w:iCs/>
                <w:color w:val="000000" w:themeColor="text1"/>
                <w:spacing w:val="-2"/>
                <w:sz w:val="28"/>
                <w:szCs w:val="28"/>
                <w:shd w:val="clear" w:color="auto" w:fill="FFFFFF"/>
              </w:rPr>
            </w:pPr>
          </w:p>
        </w:tc>
        <w:tc>
          <w:tcPr>
            <w:tcW w:w="3600" w:type="dxa"/>
          </w:tcPr>
          <w:p w14:paraId="51A76D9D" w14:textId="77777777" w:rsidR="00460326" w:rsidRPr="00D13A88" w:rsidRDefault="00460326" w:rsidP="007F6FC4">
            <w:pPr>
              <w:ind w:firstLine="176"/>
              <w:jc w:val="both"/>
              <w:rPr>
                <w:rFonts w:ascii="Times New Roman" w:hAnsi="Times New Roman"/>
                <w:color w:val="000000" w:themeColor="text1"/>
                <w:sz w:val="26"/>
                <w:szCs w:val="26"/>
              </w:rPr>
            </w:pPr>
          </w:p>
        </w:tc>
      </w:tr>
    </w:tbl>
    <w:p w14:paraId="6717691E" w14:textId="77777777" w:rsidR="00460326" w:rsidRPr="00D13A88" w:rsidRDefault="00460326" w:rsidP="00460326">
      <w:pPr>
        <w:jc w:val="both"/>
        <w:rPr>
          <w:rFonts w:ascii="Times New Roman" w:hAnsi="Times New Roman"/>
          <w:color w:val="000000" w:themeColor="text1"/>
          <w:sz w:val="26"/>
          <w:szCs w:val="26"/>
        </w:rPr>
      </w:pPr>
    </w:p>
    <w:p w14:paraId="0828842F" w14:textId="77777777" w:rsidR="00CC1566" w:rsidRPr="00D13A88" w:rsidRDefault="00CC1566" w:rsidP="002B48D2">
      <w:pPr>
        <w:jc w:val="both"/>
        <w:rPr>
          <w:rFonts w:ascii="Times New Roman" w:hAnsi="Times New Roman"/>
          <w:color w:val="000000" w:themeColor="text1"/>
          <w:sz w:val="26"/>
          <w:szCs w:val="26"/>
        </w:rPr>
      </w:pPr>
    </w:p>
    <w:sectPr w:rsidR="00CC1566" w:rsidRPr="00D13A88" w:rsidSect="00D13A88">
      <w:headerReference w:type="default" r:id="rId8"/>
      <w:footerReference w:type="default" r:id="rId9"/>
      <w:pgSz w:w="16840" w:h="11907" w:orient="landscape" w:code="9"/>
      <w:pgMar w:top="1134" w:right="1531" w:bottom="990"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3BC9F9" w14:textId="77777777" w:rsidR="00E064AA" w:rsidRDefault="00E064AA">
      <w:r>
        <w:separator/>
      </w:r>
    </w:p>
  </w:endnote>
  <w:endnote w:type="continuationSeparator" w:id="0">
    <w:p w14:paraId="613BE1D1" w14:textId="77777777" w:rsidR="00E064AA" w:rsidRDefault="00E06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5D7B18" w14:textId="1ACEA665" w:rsidR="0039356E" w:rsidRPr="00605DC8" w:rsidRDefault="0039356E">
    <w:pPr>
      <w:pStyle w:val="Footer"/>
      <w:jc w:val="right"/>
      <w:rPr>
        <w:rFonts w:ascii="Times New Roman" w:hAnsi="Times New Roman" w:cs="Times New Roman"/>
      </w:rPr>
    </w:pPr>
  </w:p>
  <w:p w14:paraId="1B47F667" w14:textId="77777777" w:rsidR="0039356E" w:rsidRPr="00605DC8" w:rsidRDefault="0039356E">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965F7E" w14:textId="77777777" w:rsidR="00E064AA" w:rsidRDefault="00E064AA">
      <w:r>
        <w:separator/>
      </w:r>
    </w:p>
  </w:footnote>
  <w:footnote w:type="continuationSeparator" w:id="0">
    <w:p w14:paraId="48D23F0A" w14:textId="77777777" w:rsidR="00E064AA" w:rsidRDefault="00E064A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96178285"/>
      <w:docPartObj>
        <w:docPartGallery w:val="Page Numbers (Top of Page)"/>
        <w:docPartUnique/>
      </w:docPartObj>
    </w:sdtPr>
    <w:sdtEndPr>
      <w:rPr>
        <w:noProof/>
      </w:rPr>
    </w:sdtEndPr>
    <w:sdtContent>
      <w:p w14:paraId="7211AF70" w14:textId="2781149E" w:rsidR="00D13A88" w:rsidRDefault="00D13A88">
        <w:pPr>
          <w:pStyle w:val="Header"/>
          <w:jc w:val="center"/>
        </w:pPr>
        <w:r>
          <w:fldChar w:fldCharType="begin"/>
        </w:r>
        <w:r>
          <w:instrText xml:space="preserve"> PAGE   \* MERGEFORMAT </w:instrText>
        </w:r>
        <w:r>
          <w:fldChar w:fldCharType="separate"/>
        </w:r>
        <w:r w:rsidR="00FF5B52">
          <w:rPr>
            <w:noProof/>
          </w:rPr>
          <w:t>17</w:t>
        </w:r>
        <w:r>
          <w:rPr>
            <w:noProof/>
          </w:rPr>
          <w:fldChar w:fldCharType="end"/>
        </w:r>
      </w:p>
    </w:sdtContent>
  </w:sdt>
  <w:p w14:paraId="29F86400" w14:textId="77777777" w:rsidR="00D13A88" w:rsidRDefault="00D13A8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462BC6"/>
    <w:multiLevelType w:val="hybridMultilevel"/>
    <w:tmpl w:val="8AFED100"/>
    <w:lvl w:ilvl="0" w:tplc="15BA059C">
      <w:start w:val="4"/>
      <w:numFmt w:val="bullet"/>
      <w:lvlText w:val="-"/>
      <w:lvlJc w:val="left"/>
      <w:pPr>
        <w:ind w:left="536" w:hanging="360"/>
      </w:pPr>
      <w:rPr>
        <w:rFonts w:ascii="Times New Roman" w:eastAsia="Times New Roman" w:hAnsi="Times New Roman" w:cs="Times New Roman" w:hint="default"/>
      </w:rPr>
    </w:lvl>
    <w:lvl w:ilvl="1" w:tplc="04090003" w:tentative="1">
      <w:start w:val="1"/>
      <w:numFmt w:val="bullet"/>
      <w:lvlText w:val="o"/>
      <w:lvlJc w:val="left"/>
      <w:pPr>
        <w:ind w:left="1256" w:hanging="360"/>
      </w:pPr>
      <w:rPr>
        <w:rFonts w:ascii="Courier New" w:hAnsi="Courier New" w:cs="Courier New" w:hint="default"/>
      </w:rPr>
    </w:lvl>
    <w:lvl w:ilvl="2" w:tplc="04090005" w:tentative="1">
      <w:start w:val="1"/>
      <w:numFmt w:val="bullet"/>
      <w:lvlText w:val=""/>
      <w:lvlJc w:val="left"/>
      <w:pPr>
        <w:ind w:left="1976" w:hanging="360"/>
      </w:pPr>
      <w:rPr>
        <w:rFonts w:ascii="Wingdings" w:hAnsi="Wingdings" w:hint="default"/>
      </w:rPr>
    </w:lvl>
    <w:lvl w:ilvl="3" w:tplc="04090001" w:tentative="1">
      <w:start w:val="1"/>
      <w:numFmt w:val="bullet"/>
      <w:lvlText w:val=""/>
      <w:lvlJc w:val="left"/>
      <w:pPr>
        <w:ind w:left="2696" w:hanging="360"/>
      </w:pPr>
      <w:rPr>
        <w:rFonts w:ascii="Symbol" w:hAnsi="Symbol" w:hint="default"/>
      </w:rPr>
    </w:lvl>
    <w:lvl w:ilvl="4" w:tplc="04090003" w:tentative="1">
      <w:start w:val="1"/>
      <w:numFmt w:val="bullet"/>
      <w:lvlText w:val="o"/>
      <w:lvlJc w:val="left"/>
      <w:pPr>
        <w:ind w:left="3416" w:hanging="360"/>
      </w:pPr>
      <w:rPr>
        <w:rFonts w:ascii="Courier New" w:hAnsi="Courier New" w:cs="Courier New" w:hint="default"/>
      </w:rPr>
    </w:lvl>
    <w:lvl w:ilvl="5" w:tplc="04090005" w:tentative="1">
      <w:start w:val="1"/>
      <w:numFmt w:val="bullet"/>
      <w:lvlText w:val=""/>
      <w:lvlJc w:val="left"/>
      <w:pPr>
        <w:ind w:left="4136" w:hanging="360"/>
      </w:pPr>
      <w:rPr>
        <w:rFonts w:ascii="Wingdings" w:hAnsi="Wingdings" w:hint="default"/>
      </w:rPr>
    </w:lvl>
    <w:lvl w:ilvl="6" w:tplc="04090001" w:tentative="1">
      <w:start w:val="1"/>
      <w:numFmt w:val="bullet"/>
      <w:lvlText w:val=""/>
      <w:lvlJc w:val="left"/>
      <w:pPr>
        <w:ind w:left="4856" w:hanging="360"/>
      </w:pPr>
      <w:rPr>
        <w:rFonts w:ascii="Symbol" w:hAnsi="Symbol" w:hint="default"/>
      </w:rPr>
    </w:lvl>
    <w:lvl w:ilvl="7" w:tplc="04090003" w:tentative="1">
      <w:start w:val="1"/>
      <w:numFmt w:val="bullet"/>
      <w:lvlText w:val="o"/>
      <w:lvlJc w:val="left"/>
      <w:pPr>
        <w:ind w:left="5576" w:hanging="360"/>
      </w:pPr>
      <w:rPr>
        <w:rFonts w:ascii="Courier New" w:hAnsi="Courier New" w:cs="Courier New" w:hint="default"/>
      </w:rPr>
    </w:lvl>
    <w:lvl w:ilvl="8" w:tplc="04090005" w:tentative="1">
      <w:start w:val="1"/>
      <w:numFmt w:val="bullet"/>
      <w:lvlText w:val=""/>
      <w:lvlJc w:val="left"/>
      <w:pPr>
        <w:ind w:left="6296" w:hanging="360"/>
      </w:pPr>
      <w:rPr>
        <w:rFonts w:ascii="Wingdings" w:hAnsi="Wingdings" w:hint="default"/>
      </w:rPr>
    </w:lvl>
  </w:abstractNum>
  <w:abstractNum w:abstractNumId="1" w15:restartNumberingAfterBreak="0">
    <w:nsid w:val="06900186"/>
    <w:multiLevelType w:val="hybridMultilevel"/>
    <w:tmpl w:val="CD0E1096"/>
    <w:lvl w:ilvl="0" w:tplc="9642FAB6">
      <w:start w:val="26"/>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3738DB"/>
    <w:multiLevelType w:val="hybridMultilevel"/>
    <w:tmpl w:val="96FE1C82"/>
    <w:lvl w:ilvl="0" w:tplc="265E6C92">
      <w:numFmt w:val="bullet"/>
      <w:lvlText w:val="-"/>
      <w:lvlJc w:val="left"/>
      <w:pPr>
        <w:ind w:left="501"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D424C6"/>
    <w:multiLevelType w:val="hybridMultilevel"/>
    <w:tmpl w:val="634027DA"/>
    <w:lvl w:ilvl="0" w:tplc="6FD6C6BA">
      <w:start w:val="2"/>
      <w:numFmt w:val="bullet"/>
      <w:lvlText w:val="-"/>
      <w:lvlJc w:val="left"/>
      <w:pPr>
        <w:ind w:left="927" w:hanging="360"/>
      </w:pPr>
      <w:rPr>
        <w:rFonts w:ascii="Times New Roman" w:eastAsiaTheme="minorHAnsi" w:hAnsi="Times New Roman" w:cs="Times New Roman" w:hint="default"/>
      </w:rPr>
    </w:lvl>
    <w:lvl w:ilvl="1" w:tplc="04090003" w:tentative="1">
      <w:start w:val="1"/>
      <w:numFmt w:val="bullet"/>
      <w:lvlText w:val="o"/>
      <w:lvlJc w:val="left"/>
      <w:pPr>
        <w:ind w:left="1840" w:hanging="360"/>
      </w:pPr>
      <w:rPr>
        <w:rFonts w:ascii="Courier New" w:hAnsi="Courier New" w:cs="Courier New" w:hint="default"/>
      </w:rPr>
    </w:lvl>
    <w:lvl w:ilvl="2" w:tplc="04090005" w:tentative="1">
      <w:start w:val="1"/>
      <w:numFmt w:val="bullet"/>
      <w:lvlText w:val=""/>
      <w:lvlJc w:val="left"/>
      <w:pPr>
        <w:ind w:left="2560" w:hanging="360"/>
      </w:pPr>
      <w:rPr>
        <w:rFonts w:ascii="Wingdings" w:hAnsi="Wingdings" w:hint="default"/>
      </w:rPr>
    </w:lvl>
    <w:lvl w:ilvl="3" w:tplc="04090001" w:tentative="1">
      <w:start w:val="1"/>
      <w:numFmt w:val="bullet"/>
      <w:lvlText w:val=""/>
      <w:lvlJc w:val="left"/>
      <w:pPr>
        <w:ind w:left="3280" w:hanging="360"/>
      </w:pPr>
      <w:rPr>
        <w:rFonts w:ascii="Symbol" w:hAnsi="Symbol" w:hint="default"/>
      </w:rPr>
    </w:lvl>
    <w:lvl w:ilvl="4" w:tplc="04090003" w:tentative="1">
      <w:start w:val="1"/>
      <w:numFmt w:val="bullet"/>
      <w:lvlText w:val="o"/>
      <w:lvlJc w:val="left"/>
      <w:pPr>
        <w:ind w:left="4000" w:hanging="360"/>
      </w:pPr>
      <w:rPr>
        <w:rFonts w:ascii="Courier New" w:hAnsi="Courier New" w:cs="Courier New" w:hint="default"/>
      </w:rPr>
    </w:lvl>
    <w:lvl w:ilvl="5" w:tplc="04090005" w:tentative="1">
      <w:start w:val="1"/>
      <w:numFmt w:val="bullet"/>
      <w:lvlText w:val=""/>
      <w:lvlJc w:val="left"/>
      <w:pPr>
        <w:ind w:left="4720" w:hanging="360"/>
      </w:pPr>
      <w:rPr>
        <w:rFonts w:ascii="Wingdings" w:hAnsi="Wingdings" w:hint="default"/>
      </w:rPr>
    </w:lvl>
    <w:lvl w:ilvl="6" w:tplc="04090001" w:tentative="1">
      <w:start w:val="1"/>
      <w:numFmt w:val="bullet"/>
      <w:lvlText w:val=""/>
      <w:lvlJc w:val="left"/>
      <w:pPr>
        <w:ind w:left="5440" w:hanging="360"/>
      </w:pPr>
      <w:rPr>
        <w:rFonts w:ascii="Symbol" w:hAnsi="Symbol" w:hint="default"/>
      </w:rPr>
    </w:lvl>
    <w:lvl w:ilvl="7" w:tplc="04090003" w:tentative="1">
      <w:start w:val="1"/>
      <w:numFmt w:val="bullet"/>
      <w:lvlText w:val="o"/>
      <w:lvlJc w:val="left"/>
      <w:pPr>
        <w:ind w:left="6160" w:hanging="360"/>
      </w:pPr>
      <w:rPr>
        <w:rFonts w:ascii="Courier New" w:hAnsi="Courier New" w:cs="Courier New" w:hint="default"/>
      </w:rPr>
    </w:lvl>
    <w:lvl w:ilvl="8" w:tplc="04090005" w:tentative="1">
      <w:start w:val="1"/>
      <w:numFmt w:val="bullet"/>
      <w:lvlText w:val=""/>
      <w:lvlJc w:val="left"/>
      <w:pPr>
        <w:ind w:left="6880" w:hanging="360"/>
      </w:pPr>
      <w:rPr>
        <w:rFonts w:ascii="Wingdings" w:hAnsi="Wingdings" w:hint="default"/>
      </w:rPr>
    </w:lvl>
  </w:abstractNum>
  <w:abstractNum w:abstractNumId="4" w15:restartNumberingAfterBreak="0">
    <w:nsid w:val="13322337"/>
    <w:multiLevelType w:val="hybridMultilevel"/>
    <w:tmpl w:val="D8EED8CA"/>
    <w:lvl w:ilvl="0" w:tplc="BCF0E67C">
      <w:numFmt w:val="bullet"/>
      <w:lvlText w:val="-"/>
      <w:lvlJc w:val="left"/>
      <w:pPr>
        <w:ind w:left="553" w:hanging="360"/>
      </w:pPr>
      <w:rPr>
        <w:rFonts w:ascii="Times New Roman" w:eastAsia="Times New Roman" w:hAnsi="Times New Roman" w:cs="Times New Roman" w:hint="default"/>
      </w:rPr>
    </w:lvl>
    <w:lvl w:ilvl="1" w:tplc="04090003" w:tentative="1">
      <w:start w:val="1"/>
      <w:numFmt w:val="bullet"/>
      <w:lvlText w:val="o"/>
      <w:lvlJc w:val="left"/>
      <w:pPr>
        <w:ind w:left="1273" w:hanging="360"/>
      </w:pPr>
      <w:rPr>
        <w:rFonts w:ascii="Courier New" w:hAnsi="Courier New" w:cs="Courier New" w:hint="default"/>
      </w:rPr>
    </w:lvl>
    <w:lvl w:ilvl="2" w:tplc="04090005" w:tentative="1">
      <w:start w:val="1"/>
      <w:numFmt w:val="bullet"/>
      <w:lvlText w:val=""/>
      <w:lvlJc w:val="left"/>
      <w:pPr>
        <w:ind w:left="1993" w:hanging="360"/>
      </w:pPr>
      <w:rPr>
        <w:rFonts w:ascii="Wingdings" w:hAnsi="Wingdings" w:hint="default"/>
      </w:rPr>
    </w:lvl>
    <w:lvl w:ilvl="3" w:tplc="04090001" w:tentative="1">
      <w:start w:val="1"/>
      <w:numFmt w:val="bullet"/>
      <w:lvlText w:val=""/>
      <w:lvlJc w:val="left"/>
      <w:pPr>
        <w:ind w:left="2713" w:hanging="360"/>
      </w:pPr>
      <w:rPr>
        <w:rFonts w:ascii="Symbol" w:hAnsi="Symbol" w:hint="default"/>
      </w:rPr>
    </w:lvl>
    <w:lvl w:ilvl="4" w:tplc="04090003" w:tentative="1">
      <w:start w:val="1"/>
      <w:numFmt w:val="bullet"/>
      <w:lvlText w:val="o"/>
      <w:lvlJc w:val="left"/>
      <w:pPr>
        <w:ind w:left="3433" w:hanging="360"/>
      </w:pPr>
      <w:rPr>
        <w:rFonts w:ascii="Courier New" w:hAnsi="Courier New" w:cs="Courier New" w:hint="default"/>
      </w:rPr>
    </w:lvl>
    <w:lvl w:ilvl="5" w:tplc="04090005" w:tentative="1">
      <w:start w:val="1"/>
      <w:numFmt w:val="bullet"/>
      <w:lvlText w:val=""/>
      <w:lvlJc w:val="left"/>
      <w:pPr>
        <w:ind w:left="4153" w:hanging="360"/>
      </w:pPr>
      <w:rPr>
        <w:rFonts w:ascii="Wingdings" w:hAnsi="Wingdings" w:hint="default"/>
      </w:rPr>
    </w:lvl>
    <w:lvl w:ilvl="6" w:tplc="04090001" w:tentative="1">
      <w:start w:val="1"/>
      <w:numFmt w:val="bullet"/>
      <w:lvlText w:val=""/>
      <w:lvlJc w:val="left"/>
      <w:pPr>
        <w:ind w:left="4873" w:hanging="360"/>
      </w:pPr>
      <w:rPr>
        <w:rFonts w:ascii="Symbol" w:hAnsi="Symbol" w:hint="default"/>
      </w:rPr>
    </w:lvl>
    <w:lvl w:ilvl="7" w:tplc="04090003" w:tentative="1">
      <w:start w:val="1"/>
      <w:numFmt w:val="bullet"/>
      <w:lvlText w:val="o"/>
      <w:lvlJc w:val="left"/>
      <w:pPr>
        <w:ind w:left="5593" w:hanging="360"/>
      </w:pPr>
      <w:rPr>
        <w:rFonts w:ascii="Courier New" w:hAnsi="Courier New" w:cs="Courier New" w:hint="default"/>
      </w:rPr>
    </w:lvl>
    <w:lvl w:ilvl="8" w:tplc="04090005" w:tentative="1">
      <w:start w:val="1"/>
      <w:numFmt w:val="bullet"/>
      <w:lvlText w:val=""/>
      <w:lvlJc w:val="left"/>
      <w:pPr>
        <w:ind w:left="6313" w:hanging="360"/>
      </w:pPr>
      <w:rPr>
        <w:rFonts w:ascii="Wingdings" w:hAnsi="Wingdings" w:hint="default"/>
      </w:rPr>
    </w:lvl>
  </w:abstractNum>
  <w:abstractNum w:abstractNumId="5" w15:restartNumberingAfterBreak="0">
    <w:nsid w:val="15604667"/>
    <w:multiLevelType w:val="hybridMultilevel"/>
    <w:tmpl w:val="48A2CD62"/>
    <w:lvl w:ilvl="0" w:tplc="28C46F2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CB5C13"/>
    <w:multiLevelType w:val="hybridMultilevel"/>
    <w:tmpl w:val="E48C5AF4"/>
    <w:lvl w:ilvl="0" w:tplc="A212175E">
      <w:start w:val="1"/>
      <w:numFmt w:val="decimal"/>
      <w:lvlText w:val="%1."/>
      <w:lvlJc w:val="left"/>
      <w:pPr>
        <w:ind w:left="536" w:hanging="360"/>
      </w:pPr>
      <w:rPr>
        <w:rFonts w:hint="default"/>
      </w:rPr>
    </w:lvl>
    <w:lvl w:ilvl="1" w:tplc="04090019" w:tentative="1">
      <w:start w:val="1"/>
      <w:numFmt w:val="lowerLetter"/>
      <w:lvlText w:val="%2."/>
      <w:lvlJc w:val="left"/>
      <w:pPr>
        <w:ind w:left="1256" w:hanging="360"/>
      </w:pPr>
    </w:lvl>
    <w:lvl w:ilvl="2" w:tplc="0409001B" w:tentative="1">
      <w:start w:val="1"/>
      <w:numFmt w:val="lowerRoman"/>
      <w:lvlText w:val="%3."/>
      <w:lvlJc w:val="right"/>
      <w:pPr>
        <w:ind w:left="1976" w:hanging="180"/>
      </w:pPr>
    </w:lvl>
    <w:lvl w:ilvl="3" w:tplc="0409000F" w:tentative="1">
      <w:start w:val="1"/>
      <w:numFmt w:val="decimal"/>
      <w:lvlText w:val="%4."/>
      <w:lvlJc w:val="left"/>
      <w:pPr>
        <w:ind w:left="2696" w:hanging="360"/>
      </w:pPr>
    </w:lvl>
    <w:lvl w:ilvl="4" w:tplc="04090019" w:tentative="1">
      <w:start w:val="1"/>
      <w:numFmt w:val="lowerLetter"/>
      <w:lvlText w:val="%5."/>
      <w:lvlJc w:val="left"/>
      <w:pPr>
        <w:ind w:left="3416" w:hanging="360"/>
      </w:pPr>
    </w:lvl>
    <w:lvl w:ilvl="5" w:tplc="0409001B" w:tentative="1">
      <w:start w:val="1"/>
      <w:numFmt w:val="lowerRoman"/>
      <w:lvlText w:val="%6."/>
      <w:lvlJc w:val="right"/>
      <w:pPr>
        <w:ind w:left="4136" w:hanging="180"/>
      </w:pPr>
    </w:lvl>
    <w:lvl w:ilvl="6" w:tplc="0409000F" w:tentative="1">
      <w:start w:val="1"/>
      <w:numFmt w:val="decimal"/>
      <w:lvlText w:val="%7."/>
      <w:lvlJc w:val="left"/>
      <w:pPr>
        <w:ind w:left="4856" w:hanging="360"/>
      </w:pPr>
    </w:lvl>
    <w:lvl w:ilvl="7" w:tplc="04090019" w:tentative="1">
      <w:start w:val="1"/>
      <w:numFmt w:val="lowerLetter"/>
      <w:lvlText w:val="%8."/>
      <w:lvlJc w:val="left"/>
      <w:pPr>
        <w:ind w:left="5576" w:hanging="360"/>
      </w:pPr>
    </w:lvl>
    <w:lvl w:ilvl="8" w:tplc="0409001B" w:tentative="1">
      <w:start w:val="1"/>
      <w:numFmt w:val="lowerRoman"/>
      <w:lvlText w:val="%9."/>
      <w:lvlJc w:val="right"/>
      <w:pPr>
        <w:ind w:left="6296" w:hanging="180"/>
      </w:pPr>
    </w:lvl>
  </w:abstractNum>
  <w:abstractNum w:abstractNumId="7" w15:restartNumberingAfterBreak="0">
    <w:nsid w:val="29C10290"/>
    <w:multiLevelType w:val="hybridMultilevel"/>
    <w:tmpl w:val="1C24EBF0"/>
    <w:lvl w:ilvl="0" w:tplc="0409000F">
      <w:start w:val="1"/>
      <w:numFmt w:val="decimal"/>
      <w:lvlText w:val="%1."/>
      <w:lvlJc w:val="left"/>
      <w:pPr>
        <w:ind w:left="927"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9F147E"/>
    <w:multiLevelType w:val="hybridMultilevel"/>
    <w:tmpl w:val="060AE5EE"/>
    <w:lvl w:ilvl="0" w:tplc="2DB833A8">
      <w:start w:val="1"/>
      <w:numFmt w:val="decimal"/>
      <w:lvlText w:val="%1."/>
      <w:lvlJc w:val="left"/>
      <w:pPr>
        <w:ind w:left="553" w:hanging="360"/>
      </w:pPr>
      <w:rPr>
        <w:rFonts w:hint="default"/>
      </w:rPr>
    </w:lvl>
    <w:lvl w:ilvl="1" w:tplc="04090019" w:tentative="1">
      <w:start w:val="1"/>
      <w:numFmt w:val="lowerLetter"/>
      <w:lvlText w:val="%2."/>
      <w:lvlJc w:val="left"/>
      <w:pPr>
        <w:ind w:left="1273" w:hanging="360"/>
      </w:pPr>
    </w:lvl>
    <w:lvl w:ilvl="2" w:tplc="0409001B" w:tentative="1">
      <w:start w:val="1"/>
      <w:numFmt w:val="lowerRoman"/>
      <w:lvlText w:val="%3."/>
      <w:lvlJc w:val="right"/>
      <w:pPr>
        <w:ind w:left="1993" w:hanging="180"/>
      </w:pPr>
    </w:lvl>
    <w:lvl w:ilvl="3" w:tplc="0409000F" w:tentative="1">
      <w:start w:val="1"/>
      <w:numFmt w:val="decimal"/>
      <w:lvlText w:val="%4."/>
      <w:lvlJc w:val="left"/>
      <w:pPr>
        <w:ind w:left="2713" w:hanging="360"/>
      </w:pPr>
    </w:lvl>
    <w:lvl w:ilvl="4" w:tplc="04090019" w:tentative="1">
      <w:start w:val="1"/>
      <w:numFmt w:val="lowerLetter"/>
      <w:lvlText w:val="%5."/>
      <w:lvlJc w:val="left"/>
      <w:pPr>
        <w:ind w:left="3433" w:hanging="360"/>
      </w:pPr>
    </w:lvl>
    <w:lvl w:ilvl="5" w:tplc="0409001B" w:tentative="1">
      <w:start w:val="1"/>
      <w:numFmt w:val="lowerRoman"/>
      <w:lvlText w:val="%6."/>
      <w:lvlJc w:val="right"/>
      <w:pPr>
        <w:ind w:left="4153" w:hanging="180"/>
      </w:pPr>
    </w:lvl>
    <w:lvl w:ilvl="6" w:tplc="0409000F" w:tentative="1">
      <w:start w:val="1"/>
      <w:numFmt w:val="decimal"/>
      <w:lvlText w:val="%7."/>
      <w:lvlJc w:val="left"/>
      <w:pPr>
        <w:ind w:left="4873" w:hanging="360"/>
      </w:pPr>
    </w:lvl>
    <w:lvl w:ilvl="7" w:tplc="04090019" w:tentative="1">
      <w:start w:val="1"/>
      <w:numFmt w:val="lowerLetter"/>
      <w:lvlText w:val="%8."/>
      <w:lvlJc w:val="left"/>
      <w:pPr>
        <w:ind w:left="5593" w:hanging="360"/>
      </w:pPr>
    </w:lvl>
    <w:lvl w:ilvl="8" w:tplc="0409001B" w:tentative="1">
      <w:start w:val="1"/>
      <w:numFmt w:val="lowerRoman"/>
      <w:lvlText w:val="%9."/>
      <w:lvlJc w:val="right"/>
      <w:pPr>
        <w:ind w:left="6313" w:hanging="180"/>
      </w:pPr>
    </w:lvl>
  </w:abstractNum>
  <w:abstractNum w:abstractNumId="9" w15:restartNumberingAfterBreak="0">
    <w:nsid w:val="303F2360"/>
    <w:multiLevelType w:val="hybridMultilevel"/>
    <w:tmpl w:val="E10C424C"/>
    <w:lvl w:ilvl="0" w:tplc="6D84E578">
      <w:numFmt w:val="bullet"/>
      <w:lvlText w:val="-"/>
      <w:lvlJc w:val="left"/>
      <w:pPr>
        <w:ind w:left="553" w:hanging="360"/>
      </w:pPr>
      <w:rPr>
        <w:rFonts w:ascii="Times New Roman" w:eastAsia="Times New Roman" w:hAnsi="Times New Roman" w:cs="Times New Roman" w:hint="default"/>
      </w:rPr>
    </w:lvl>
    <w:lvl w:ilvl="1" w:tplc="04090003" w:tentative="1">
      <w:start w:val="1"/>
      <w:numFmt w:val="bullet"/>
      <w:lvlText w:val="o"/>
      <w:lvlJc w:val="left"/>
      <w:pPr>
        <w:ind w:left="1273" w:hanging="360"/>
      </w:pPr>
      <w:rPr>
        <w:rFonts w:ascii="Courier New" w:hAnsi="Courier New" w:cs="Courier New" w:hint="default"/>
      </w:rPr>
    </w:lvl>
    <w:lvl w:ilvl="2" w:tplc="04090005" w:tentative="1">
      <w:start w:val="1"/>
      <w:numFmt w:val="bullet"/>
      <w:lvlText w:val=""/>
      <w:lvlJc w:val="left"/>
      <w:pPr>
        <w:ind w:left="1993" w:hanging="360"/>
      </w:pPr>
      <w:rPr>
        <w:rFonts w:ascii="Wingdings" w:hAnsi="Wingdings" w:hint="default"/>
      </w:rPr>
    </w:lvl>
    <w:lvl w:ilvl="3" w:tplc="04090001" w:tentative="1">
      <w:start w:val="1"/>
      <w:numFmt w:val="bullet"/>
      <w:lvlText w:val=""/>
      <w:lvlJc w:val="left"/>
      <w:pPr>
        <w:ind w:left="2713" w:hanging="360"/>
      </w:pPr>
      <w:rPr>
        <w:rFonts w:ascii="Symbol" w:hAnsi="Symbol" w:hint="default"/>
      </w:rPr>
    </w:lvl>
    <w:lvl w:ilvl="4" w:tplc="04090003" w:tentative="1">
      <w:start w:val="1"/>
      <w:numFmt w:val="bullet"/>
      <w:lvlText w:val="o"/>
      <w:lvlJc w:val="left"/>
      <w:pPr>
        <w:ind w:left="3433" w:hanging="360"/>
      </w:pPr>
      <w:rPr>
        <w:rFonts w:ascii="Courier New" w:hAnsi="Courier New" w:cs="Courier New" w:hint="default"/>
      </w:rPr>
    </w:lvl>
    <w:lvl w:ilvl="5" w:tplc="04090005" w:tentative="1">
      <w:start w:val="1"/>
      <w:numFmt w:val="bullet"/>
      <w:lvlText w:val=""/>
      <w:lvlJc w:val="left"/>
      <w:pPr>
        <w:ind w:left="4153" w:hanging="360"/>
      </w:pPr>
      <w:rPr>
        <w:rFonts w:ascii="Wingdings" w:hAnsi="Wingdings" w:hint="default"/>
      </w:rPr>
    </w:lvl>
    <w:lvl w:ilvl="6" w:tplc="04090001" w:tentative="1">
      <w:start w:val="1"/>
      <w:numFmt w:val="bullet"/>
      <w:lvlText w:val=""/>
      <w:lvlJc w:val="left"/>
      <w:pPr>
        <w:ind w:left="4873" w:hanging="360"/>
      </w:pPr>
      <w:rPr>
        <w:rFonts w:ascii="Symbol" w:hAnsi="Symbol" w:hint="default"/>
      </w:rPr>
    </w:lvl>
    <w:lvl w:ilvl="7" w:tplc="04090003" w:tentative="1">
      <w:start w:val="1"/>
      <w:numFmt w:val="bullet"/>
      <w:lvlText w:val="o"/>
      <w:lvlJc w:val="left"/>
      <w:pPr>
        <w:ind w:left="5593" w:hanging="360"/>
      </w:pPr>
      <w:rPr>
        <w:rFonts w:ascii="Courier New" w:hAnsi="Courier New" w:cs="Courier New" w:hint="default"/>
      </w:rPr>
    </w:lvl>
    <w:lvl w:ilvl="8" w:tplc="04090005" w:tentative="1">
      <w:start w:val="1"/>
      <w:numFmt w:val="bullet"/>
      <w:lvlText w:val=""/>
      <w:lvlJc w:val="left"/>
      <w:pPr>
        <w:ind w:left="6313" w:hanging="360"/>
      </w:pPr>
      <w:rPr>
        <w:rFonts w:ascii="Wingdings" w:hAnsi="Wingdings" w:hint="default"/>
      </w:rPr>
    </w:lvl>
  </w:abstractNum>
  <w:abstractNum w:abstractNumId="10" w15:restartNumberingAfterBreak="0">
    <w:nsid w:val="309573AD"/>
    <w:multiLevelType w:val="hybridMultilevel"/>
    <w:tmpl w:val="4F025554"/>
    <w:lvl w:ilvl="0" w:tplc="21F636C4">
      <w:start w:val="1"/>
      <w:numFmt w:val="decimal"/>
      <w:lvlText w:val="%1."/>
      <w:lvlJc w:val="left"/>
      <w:pPr>
        <w:ind w:left="553" w:hanging="360"/>
      </w:pPr>
      <w:rPr>
        <w:rFonts w:hint="default"/>
      </w:rPr>
    </w:lvl>
    <w:lvl w:ilvl="1" w:tplc="04090019" w:tentative="1">
      <w:start w:val="1"/>
      <w:numFmt w:val="lowerLetter"/>
      <w:lvlText w:val="%2."/>
      <w:lvlJc w:val="left"/>
      <w:pPr>
        <w:ind w:left="1273" w:hanging="360"/>
      </w:pPr>
    </w:lvl>
    <w:lvl w:ilvl="2" w:tplc="0409001B" w:tentative="1">
      <w:start w:val="1"/>
      <w:numFmt w:val="lowerRoman"/>
      <w:lvlText w:val="%3."/>
      <w:lvlJc w:val="right"/>
      <w:pPr>
        <w:ind w:left="1993" w:hanging="180"/>
      </w:pPr>
    </w:lvl>
    <w:lvl w:ilvl="3" w:tplc="0409000F" w:tentative="1">
      <w:start w:val="1"/>
      <w:numFmt w:val="decimal"/>
      <w:lvlText w:val="%4."/>
      <w:lvlJc w:val="left"/>
      <w:pPr>
        <w:ind w:left="2713" w:hanging="360"/>
      </w:pPr>
    </w:lvl>
    <w:lvl w:ilvl="4" w:tplc="04090019" w:tentative="1">
      <w:start w:val="1"/>
      <w:numFmt w:val="lowerLetter"/>
      <w:lvlText w:val="%5."/>
      <w:lvlJc w:val="left"/>
      <w:pPr>
        <w:ind w:left="3433" w:hanging="360"/>
      </w:pPr>
    </w:lvl>
    <w:lvl w:ilvl="5" w:tplc="0409001B" w:tentative="1">
      <w:start w:val="1"/>
      <w:numFmt w:val="lowerRoman"/>
      <w:lvlText w:val="%6."/>
      <w:lvlJc w:val="right"/>
      <w:pPr>
        <w:ind w:left="4153" w:hanging="180"/>
      </w:pPr>
    </w:lvl>
    <w:lvl w:ilvl="6" w:tplc="0409000F" w:tentative="1">
      <w:start w:val="1"/>
      <w:numFmt w:val="decimal"/>
      <w:lvlText w:val="%7."/>
      <w:lvlJc w:val="left"/>
      <w:pPr>
        <w:ind w:left="4873" w:hanging="360"/>
      </w:pPr>
    </w:lvl>
    <w:lvl w:ilvl="7" w:tplc="04090019" w:tentative="1">
      <w:start w:val="1"/>
      <w:numFmt w:val="lowerLetter"/>
      <w:lvlText w:val="%8."/>
      <w:lvlJc w:val="left"/>
      <w:pPr>
        <w:ind w:left="5593" w:hanging="360"/>
      </w:pPr>
    </w:lvl>
    <w:lvl w:ilvl="8" w:tplc="0409001B" w:tentative="1">
      <w:start w:val="1"/>
      <w:numFmt w:val="lowerRoman"/>
      <w:lvlText w:val="%9."/>
      <w:lvlJc w:val="right"/>
      <w:pPr>
        <w:ind w:left="6313" w:hanging="180"/>
      </w:pPr>
    </w:lvl>
  </w:abstractNum>
  <w:abstractNum w:abstractNumId="11" w15:restartNumberingAfterBreak="0">
    <w:nsid w:val="3BBC4D2D"/>
    <w:multiLevelType w:val="hybridMultilevel"/>
    <w:tmpl w:val="DE1C7C2A"/>
    <w:lvl w:ilvl="0" w:tplc="0114A476">
      <w:start w:val="1"/>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2" w15:restartNumberingAfterBreak="0">
    <w:nsid w:val="406A6719"/>
    <w:multiLevelType w:val="hybridMultilevel"/>
    <w:tmpl w:val="A34C3530"/>
    <w:lvl w:ilvl="0" w:tplc="D2D6F04E">
      <w:start w:val="4"/>
      <w:numFmt w:val="bullet"/>
      <w:lvlText w:val="-"/>
      <w:lvlJc w:val="left"/>
      <w:pPr>
        <w:ind w:left="553" w:hanging="360"/>
      </w:pPr>
      <w:rPr>
        <w:rFonts w:ascii="Times New Roman" w:eastAsia="Times New Roman" w:hAnsi="Times New Roman" w:cs="Times New Roman" w:hint="default"/>
      </w:rPr>
    </w:lvl>
    <w:lvl w:ilvl="1" w:tplc="04090003" w:tentative="1">
      <w:start w:val="1"/>
      <w:numFmt w:val="bullet"/>
      <w:lvlText w:val="o"/>
      <w:lvlJc w:val="left"/>
      <w:pPr>
        <w:ind w:left="1273" w:hanging="360"/>
      </w:pPr>
      <w:rPr>
        <w:rFonts w:ascii="Courier New" w:hAnsi="Courier New" w:cs="Courier New" w:hint="default"/>
      </w:rPr>
    </w:lvl>
    <w:lvl w:ilvl="2" w:tplc="04090005" w:tentative="1">
      <w:start w:val="1"/>
      <w:numFmt w:val="bullet"/>
      <w:lvlText w:val=""/>
      <w:lvlJc w:val="left"/>
      <w:pPr>
        <w:ind w:left="1993" w:hanging="360"/>
      </w:pPr>
      <w:rPr>
        <w:rFonts w:ascii="Wingdings" w:hAnsi="Wingdings" w:hint="default"/>
      </w:rPr>
    </w:lvl>
    <w:lvl w:ilvl="3" w:tplc="04090001" w:tentative="1">
      <w:start w:val="1"/>
      <w:numFmt w:val="bullet"/>
      <w:lvlText w:val=""/>
      <w:lvlJc w:val="left"/>
      <w:pPr>
        <w:ind w:left="2713" w:hanging="360"/>
      </w:pPr>
      <w:rPr>
        <w:rFonts w:ascii="Symbol" w:hAnsi="Symbol" w:hint="default"/>
      </w:rPr>
    </w:lvl>
    <w:lvl w:ilvl="4" w:tplc="04090003" w:tentative="1">
      <w:start w:val="1"/>
      <w:numFmt w:val="bullet"/>
      <w:lvlText w:val="o"/>
      <w:lvlJc w:val="left"/>
      <w:pPr>
        <w:ind w:left="3433" w:hanging="360"/>
      </w:pPr>
      <w:rPr>
        <w:rFonts w:ascii="Courier New" w:hAnsi="Courier New" w:cs="Courier New" w:hint="default"/>
      </w:rPr>
    </w:lvl>
    <w:lvl w:ilvl="5" w:tplc="04090005" w:tentative="1">
      <w:start w:val="1"/>
      <w:numFmt w:val="bullet"/>
      <w:lvlText w:val=""/>
      <w:lvlJc w:val="left"/>
      <w:pPr>
        <w:ind w:left="4153" w:hanging="360"/>
      </w:pPr>
      <w:rPr>
        <w:rFonts w:ascii="Wingdings" w:hAnsi="Wingdings" w:hint="default"/>
      </w:rPr>
    </w:lvl>
    <w:lvl w:ilvl="6" w:tplc="04090001" w:tentative="1">
      <w:start w:val="1"/>
      <w:numFmt w:val="bullet"/>
      <w:lvlText w:val=""/>
      <w:lvlJc w:val="left"/>
      <w:pPr>
        <w:ind w:left="4873" w:hanging="360"/>
      </w:pPr>
      <w:rPr>
        <w:rFonts w:ascii="Symbol" w:hAnsi="Symbol" w:hint="default"/>
      </w:rPr>
    </w:lvl>
    <w:lvl w:ilvl="7" w:tplc="04090003" w:tentative="1">
      <w:start w:val="1"/>
      <w:numFmt w:val="bullet"/>
      <w:lvlText w:val="o"/>
      <w:lvlJc w:val="left"/>
      <w:pPr>
        <w:ind w:left="5593" w:hanging="360"/>
      </w:pPr>
      <w:rPr>
        <w:rFonts w:ascii="Courier New" w:hAnsi="Courier New" w:cs="Courier New" w:hint="default"/>
      </w:rPr>
    </w:lvl>
    <w:lvl w:ilvl="8" w:tplc="04090005" w:tentative="1">
      <w:start w:val="1"/>
      <w:numFmt w:val="bullet"/>
      <w:lvlText w:val=""/>
      <w:lvlJc w:val="left"/>
      <w:pPr>
        <w:ind w:left="6313" w:hanging="360"/>
      </w:pPr>
      <w:rPr>
        <w:rFonts w:ascii="Wingdings" w:hAnsi="Wingdings" w:hint="default"/>
      </w:rPr>
    </w:lvl>
  </w:abstractNum>
  <w:abstractNum w:abstractNumId="13" w15:restartNumberingAfterBreak="0">
    <w:nsid w:val="467948BF"/>
    <w:multiLevelType w:val="hybridMultilevel"/>
    <w:tmpl w:val="2902A238"/>
    <w:lvl w:ilvl="0" w:tplc="EE20D05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5A500F"/>
    <w:multiLevelType w:val="hybridMultilevel"/>
    <w:tmpl w:val="2F16B018"/>
    <w:lvl w:ilvl="0" w:tplc="5350A3F4">
      <w:numFmt w:val="bullet"/>
      <w:lvlText w:val="-"/>
      <w:lvlJc w:val="left"/>
      <w:pPr>
        <w:ind w:left="553" w:hanging="360"/>
      </w:pPr>
      <w:rPr>
        <w:rFonts w:ascii="Times New Roman" w:eastAsia="Times New Roman" w:hAnsi="Times New Roman" w:cs="Times New Roman" w:hint="default"/>
      </w:rPr>
    </w:lvl>
    <w:lvl w:ilvl="1" w:tplc="04090003" w:tentative="1">
      <w:start w:val="1"/>
      <w:numFmt w:val="bullet"/>
      <w:lvlText w:val="o"/>
      <w:lvlJc w:val="left"/>
      <w:pPr>
        <w:ind w:left="1273" w:hanging="360"/>
      </w:pPr>
      <w:rPr>
        <w:rFonts w:ascii="Courier New" w:hAnsi="Courier New" w:cs="Courier New" w:hint="default"/>
      </w:rPr>
    </w:lvl>
    <w:lvl w:ilvl="2" w:tplc="04090005" w:tentative="1">
      <w:start w:val="1"/>
      <w:numFmt w:val="bullet"/>
      <w:lvlText w:val=""/>
      <w:lvlJc w:val="left"/>
      <w:pPr>
        <w:ind w:left="1993" w:hanging="360"/>
      </w:pPr>
      <w:rPr>
        <w:rFonts w:ascii="Wingdings" w:hAnsi="Wingdings" w:hint="default"/>
      </w:rPr>
    </w:lvl>
    <w:lvl w:ilvl="3" w:tplc="04090001" w:tentative="1">
      <w:start w:val="1"/>
      <w:numFmt w:val="bullet"/>
      <w:lvlText w:val=""/>
      <w:lvlJc w:val="left"/>
      <w:pPr>
        <w:ind w:left="2713" w:hanging="360"/>
      </w:pPr>
      <w:rPr>
        <w:rFonts w:ascii="Symbol" w:hAnsi="Symbol" w:hint="default"/>
      </w:rPr>
    </w:lvl>
    <w:lvl w:ilvl="4" w:tplc="04090003" w:tentative="1">
      <w:start w:val="1"/>
      <w:numFmt w:val="bullet"/>
      <w:lvlText w:val="o"/>
      <w:lvlJc w:val="left"/>
      <w:pPr>
        <w:ind w:left="3433" w:hanging="360"/>
      </w:pPr>
      <w:rPr>
        <w:rFonts w:ascii="Courier New" w:hAnsi="Courier New" w:cs="Courier New" w:hint="default"/>
      </w:rPr>
    </w:lvl>
    <w:lvl w:ilvl="5" w:tplc="04090005" w:tentative="1">
      <w:start w:val="1"/>
      <w:numFmt w:val="bullet"/>
      <w:lvlText w:val=""/>
      <w:lvlJc w:val="left"/>
      <w:pPr>
        <w:ind w:left="4153" w:hanging="360"/>
      </w:pPr>
      <w:rPr>
        <w:rFonts w:ascii="Wingdings" w:hAnsi="Wingdings" w:hint="default"/>
      </w:rPr>
    </w:lvl>
    <w:lvl w:ilvl="6" w:tplc="04090001" w:tentative="1">
      <w:start w:val="1"/>
      <w:numFmt w:val="bullet"/>
      <w:lvlText w:val=""/>
      <w:lvlJc w:val="left"/>
      <w:pPr>
        <w:ind w:left="4873" w:hanging="360"/>
      </w:pPr>
      <w:rPr>
        <w:rFonts w:ascii="Symbol" w:hAnsi="Symbol" w:hint="default"/>
      </w:rPr>
    </w:lvl>
    <w:lvl w:ilvl="7" w:tplc="04090003" w:tentative="1">
      <w:start w:val="1"/>
      <w:numFmt w:val="bullet"/>
      <w:lvlText w:val="o"/>
      <w:lvlJc w:val="left"/>
      <w:pPr>
        <w:ind w:left="5593" w:hanging="360"/>
      </w:pPr>
      <w:rPr>
        <w:rFonts w:ascii="Courier New" w:hAnsi="Courier New" w:cs="Courier New" w:hint="default"/>
      </w:rPr>
    </w:lvl>
    <w:lvl w:ilvl="8" w:tplc="04090005" w:tentative="1">
      <w:start w:val="1"/>
      <w:numFmt w:val="bullet"/>
      <w:lvlText w:val=""/>
      <w:lvlJc w:val="left"/>
      <w:pPr>
        <w:ind w:left="6313" w:hanging="360"/>
      </w:pPr>
      <w:rPr>
        <w:rFonts w:ascii="Wingdings" w:hAnsi="Wingdings" w:hint="default"/>
      </w:rPr>
    </w:lvl>
  </w:abstractNum>
  <w:abstractNum w:abstractNumId="15" w15:restartNumberingAfterBreak="0">
    <w:nsid w:val="5DD62062"/>
    <w:multiLevelType w:val="hybridMultilevel"/>
    <w:tmpl w:val="840C4576"/>
    <w:lvl w:ilvl="0" w:tplc="1F323F44">
      <w:start w:val="1"/>
      <w:numFmt w:val="decimal"/>
      <w:lvlText w:val="%1."/>
      <w:lvlJc w:val="left"/>
      <w:pPr>
        <w:ind w:left="553" w:hanging="360"/>
      </w:pPr>
      <w:rPr>
        <w:rFonts w:hint="default"/>
      </w:rPr>
    </w:lvl>
    <w:lvl w:ilvl="1" w:tplc="04090019" w:tentative="1">
      <w:start w:val="1"/>
      <w:numFmt w:val="lowerLetter"/>
      <w:lvlText w:val="%2."/>
      <w:lvlJc w:val="left"/>
      <w:pPr>
        <w:ind w:left="1273" w:hanging="360"/>
      </w:pPr>
    </w:lvl>
    <w:lvl w:ilvl="2" w:tplc="0409001B" w:tentative="1">
      <w:start w:val="1"/>
      <w:numFmt w:val="lowerRoman"/>
      <w:lvlText w:val="%3."/>
      <w:lvlJc w:val="right"/>
      <w:pPr>
        <w:ind w:left="1993" w:hanging="180"/>
      </w:pPr>
    </w:lvl>
    <w:lvl w:ilvl="3" w:tplc="0409000F" w:tentative="1">
      <w:start w:val="1"/>
      <w:numFmt w:val="decimal"/>
      <w:lvlText w:val="%4."/>
      <w:lvlJc w:val="left"/>
      <w:pPr>
        <w:ind w:left="2713" w:hanging="360"/>
      </w:pPr>
    </w:lvl>
    <w:lvl w:ilvl="4" w:tplc="04090019" w:tentative="1">
      <w:start w:val="1"/>
      <w:numFmt w:val="lowerLetter"/>
      <w:lvlText w:val="%5."/>
      <w:lvlJc w:val="left"/>
      <w:pPr>
        <w:ind w:left="3433" w:hanging="360"/>
      </w:pPr>
    </w:lvl>
    <w:lvl w:ilvl="5" w:tplc="0409001B" w:tentative="1">
      <w:start w:val="1"/>
      <w:numFmt w:val="lowerRoman"/>
      <w:lvlText w:val="%6."/>
      <w:lvlJc w:val="right"/>
      <w:pPr>
        <w:ind w:left="4153" w:hanging="180"/>
      </w:pPr>
    </w:lvl>
    <w:lvl w:ilvl="6" w:tplc="0409000F" w:tentative="1">
      <w:start w:val="1"/>
      <w:numFmt w:val="decimal"/>
      <w:lvlText w:val="%7."/>
      <w:lvlJc w:val="left"/>
      <w:pPr>
        <w:ind w:left="4873" w:hanging="360"/>
      </w:pPr>
    </w:lvl>
    <w:lvl w:ilvl="7" w:tplc="04090019" w:tentative="1">
      <w:start w:val="1"/>
      <w:numFmt w:val="lowerLetter"/>
      <w:lvlText w:val="%8."/>
      <w:lvlJc w:val="left"/>
      <w:pPr>
        <w:ind w:left="5593" w:hanging="360"/>
      </w:pPr>
    </w:lvl>
    <w:lvl w:ilvl="8" w:tplc="0409001B" w:tentative="1">
      <w:start w:val="1"/>
      <w:numFmt w:val="lowerRoman"/>
      <w:lvlText w:val="%9."/>
      <w:lvlJc w:val="right"/>
      <w:pPr>
        <w:ind w:left="6313" w:hanging="180"/>
      </w:pPr>
    </w:lvl>
  </w:abstractNum>
  <w:abstractNum w:abstractNumId="16" w15:restartNumberingAfterBreak="0">
    <w:nsid w:val="60450A93"/>
    <w:multiLevelType w:val="hybridMultilevel"/>
    <w:tmpl w:val="0AB64E08"/>
    <w:lvl w:ilvl="0" w:tplc="7FD221C0">
      <w:numFmt w:val="bullet"/>
      <w:lvlText w:val="-"/>
      <w:lvlJc w:val="left"/>
      <w:pPr>
        <w:ind w:left="1080" w:hanging="360"/>
      </w:pPr>
      <w:rPr>
        <w:rFonts w:ascii="Times New Roman" w:eastAsia="Times New Roman" w:hAnsi="Times New Roman" w:cs="Times New Roman" w:hint="default"/>
        <w:b/>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17" w15:restartNumberingAfterBreak="0">
    <w:nsid w:val="6A0C1F11"/>
    <w:multiLevelType w:val="hybridMultilevel"/>
    <w:tmpl w:val="1C24E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AB32249"/>
    <w:multiLevelType w:val="hybridMultilevel"/>
    <w:tmpl w:val="BB7AB730"/>
    <w:lvl w:ilvl="0" w:tplc="440605C2">
      <w:start w:val="1"/>
      <w:numFmt w:val="decimal"/>
      <w:lvlText w:val="%1."/>
      <w:lvlJc w:val="left"/>
      <w:pPr>
        <w:ind w:left="553" w:hanging="360"/>
      </w:pPr>
      <w:rPr>
        <w:rFonts w:hint="default"/>
        <w:b/>
      </w:rPr>
    </w:lvl>
    <w:lvl w:ilvl="1" w:tplc="04090019" w:tentative="1">
      <w:start w:val="1"/>
      <w:numFmt w:val="lowerLetter"/>
      <w:lvlText w:val="%2."/>
      <w:lvlJc w:val="left"/>
      <w:pPr>
        <w:ind w:left="1273" w:hanging="360"/>
      </w:pPr>
    </w:lvl>
    <w:lvl w:ilvl="2" w:tplc="0409001B" w:tentative="1">
      <w:start w:val="1"/>
      <w:numFmt w:val="lowerRoman"/>
      <w:lvlText w:val="%3."/>
      <w:lvlJc w:val="right"/>
      <w:pPr>
        <w:ind w:left="1993" w:hanging="180"/>
      </w:pPr>
    </w:lvl>
    <w:lvl w:ilvl="3" w:tplc="0409000F" w:tentative="1">
      <w:start w:val="1"/>
      <w:numFmt w:val="decimal"/>
      <w:lvlText w:val="%4."/>
      <w:lvlJc w:val="left"/>
      <w:pPr>
        <w:ind w:left="2713" w:hanging="360"/>
      </w:pPr>
    </w:lvl>
    <w:lvl w:ilvl="4" w:tplc="04090019" w:tentative="1">
      <w:start w:val="1"/>
      <w:numFmt w:val="lowerLetter"/>
      <w:lvlText w:val="%5."/>
      <w:lvlJc w:val="left"/>
      <w:pPr>
        <w:ind w:left="3433" w:hanging="360"/>
      </w:pPr>
    </w:lvl>
    <w:lvl w:ilvl="5" w:tplc="0409001B" w:tentative="1">
      <w:start w:val="1"/>
      <w:numFmt w:val="lowerRoman"/>
      <w:lvlText w:val="%6."/>
      <w:lvlJc w:val="right"/>
      <w:pPr>
        <w:ind w:left="4153" w:hanging="180"/>
      </w:pPr>
    </w:lvl>
    <w:lvl w:ilvl="6" w:tplc="0409000F" w:tentative="1">
      <w:start w:val="1"/>
      <w:numFmt w:val="decimal"/>
      <w:lvlText w:val="%7."/>
      <w:lvlJc w:val="left"/>
      <w:pPr>
        <w:ind w:left="4873" w:hanging="360"/>
      </w:pPr>
    </w:lvl>
    <w:lvl w:ilvl="7" w:tplc="04090019" w:tentative="1">
      <w:start w:val="1"/>
      <w:numFmt w:val="lowerLetter"/>
      <w:lvlText w:val="%8."/>
      <w:lvlJc w:val="left"/>
      <w:pPr>
        <w:ind w:left="5593" w:hanging="360"/>
      </w:pPr>
    </w:lvl>
    <w:lvl w:ilvl="8" w:tplc="0409001B" w:tentative="1">
      <w:start w:val="1"/>
      <w:numFmt w:val="lowerRoman"/>
      <w:lvlText w:val="%9."/>
      <w:lvlJc w:val="right"/>
      <w:pPr>
        <w:ind w:left="6313" w:hanging="180"/>
      </w:pPr>
    </w:lvl>
  </w:abstractNum>
  <w:abstractNum w:abstractNumId="19" w15:restartNumberingAfterBreak="0">
    <w:nsid w:val="6FF31A8E"/>
    <w:multiLevelType w:val="hybridMultilevel"/>
    <w:tmpl w:val="E01E88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02D3259"/>
    <w:multiLevelType w:val="hybridMultilevel"/>
    <w:tmpl w:val="70C0D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1C86611"/>
    <w:multiLevelType w:val="hybridMultilevel"/>
    <w:tmpl w:val="CBC28FF6"/>
    <w:lvl w:ilvl="0" w:tplc="E0C0D9D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E877BE"/>
    <w:multiLevelType w:val="hybridMultilevel"/>
    <w:tmpl w:val="A0AEDEFA"/>
    <w:lvl w:ilvl="0" w:tplc="D1B4A280">
      <w:numFmt w:val="bullet"/>
      <w:lvlText w:val="-"/>
      <w:lvlJc w:val="left"/>
      <w:pPr>
        <w:ind w:left="553" w:hanging="360"/>
      </w:pPr>
      <w:rPr>
        <w:rFonts w:ascii="Times New Roman" w:eastAsia="Times New Roman" w:hAnsi="Times New Roman" w:cs="Times New Roman" w:hint="default"/>
      </w:rPr>
    </w:lvl>
    <w:lvl w:ilvl="1" w:tplc="04090003" w:tentative="1">
      <w:start w:val="1"/>
      <w:numFmt w:val="bullet"/>
      <w:lvlText w:val="o"/>
      <w:lvlJc w:val="left"/>
      <w:pPr>
        <w:ind w:left="1273" w:hanging="360"/>
      </w:pPr>
      <w:rPr>
        <w:rFonts w:ascii="Courier New" w:hAnsi="Courier New" w:cs="Courier New" w:hint="default"/>
      </w:rPr>
    </w:lvl>
    <w:lvl w:ilvl="2" w:tplc="04090005" w:tentative="1">
      <w:start w:val="1"/>
      <w:numFmt w:val="bullet"/>
      <w:lvlText w:val=""/>
      <w:lvlJc w:val="left"/>
      <w:pPr>
        <w:ind w:left="1993" w:hanging="360"/>
      </w:pPr>
      <w:rPr>
        <w:rFonts w:ascii="Wingdings" w:hAnsi="Wingdings" w:hint="default"/>
      </w:rPr>
    </w:lvl>
    <w:lvl w:ilvl="3" w:tplc="04090001" w:tentative="1">
      <w:start w:val="1"/>
      <w:numFmt w:val="bullet"/>
      <w:lvlText w:val=""/>
      <w:lvlJc w:val="left"/>
      <w:pPr>
        <w:ind w:left="2713" w:hanging="360"/>
      </w:pPr>
      <w:rPr>
        <w:rFonts w:ascii="Symbol" w:hAnsi="Symbol" w:hint="default"/>
      </w:rPr>
    </w:lvl>
    <w:lvl w:ilvl="4" w:tplc="04090003" w:tentative="1">
      <w:start w:val="1"/>
      <w:numFmt w:val="bullet"/>
      <w:lvlText w:val="o"/>
      <w:lvlJc w:val="left"/>
      <w:pPr>
        <w:ind w:left="3433" w:hanging="360"/>
      </w:pPr>
      <w:rPr>
        <w:rFonts w:ascii="Courier New" w:hAnsi="Courier New" w:cs="Courier New" w:hint="default"/>
      </w:rPr>
    </w:lvl>
    <w:lvl w:ilvl="5" w:tplc="04090005" w:tentative="1">
      <w:start w:val="1"/>
      <w:numFmt w:val="bullet"/>
      <w:lvlText w:val=""/>
      <w:lvlJc w:val="left"/>
      <w:pPr>
        <w:ind w:left="4153" w:hanging="360"/>
      </w:pPr>
      <w:rPr>
        <w:rFonts w:ascii="Wingdings" w:hAnsi="Wingdings" w:hint="default"/>
      </w:rPr>
    </w:lvl>
    <w:lvl w:ilvl="6" w:tplc="04090001" w:tentative="1">
      <w:start w:val="1"/>
      <w:numFmt w:val="bullet"/>
      <w:lvlText w:val=""/>
      <w:lvlJc w:val="left"/>
      <w:pPr>
        <w:ind w:left="4873" w:hanging="360"/>
      </w:pPr>
      <w:rPr>
        <w:rFonts w:ascii="Symbol" w:hAnsi="Symbol" w:hint="default"/>
      </w:rPr>
    </w:lvl>
    <w:lvl w:ilvl="7" w:tplc="04090003" w:tentative="1">
      <w:start w:val="1"/>
      <w:numFmt w:val="bullet"/>
      <w:lvlText w:val="o"/>
      <w:lvlJc w:val="left"/>
      <w:pPr>
        <w:ind w:left="5593" w:hanging="360"/>
      </w:pPr>
      <w:rPr>
        <w:rFonts w:ascii="Courier New" w:hAnsi="Courier New" w:cs="Courier New" w:hint="default"/>
      </w:rPr>
    </w:lvl>
    <w:lvl w:ilvl="8" w:tplc="04090005" w:tentative="1">
      <w:start w:val="1"/>
      <w:numFmt w:val="bullet"/>
      <w:lvlText w:val=""/>
      <w:lvlJc w:val="left"/>
      <w:pPr>
        <w:ind w:left="6313" w:hanging="360"/>
      </w:pPr>
      <w:rPr>
        <w:rFonts w:ascii="Wingdings" w:hAnsi="Wingdings" w:hint="default"/>
      </w:rPr>
    </w:lvl>
  </w:abstractNum>
  <w:abstractNum w:abstractNumId="23" w15:restartNumberingAfterBreak="0">
    <w:nsid w:val="72EF1D3F"/>
    <w:multiLevelType w:val="hybridMultilevel"/>
    <w:tmpl w:val="0BAE6CF6"/>
    <w:lvl w:ilvl="0" w:tplc="111CCCB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4" w15:restartNumberingAfterBreak="0">
    <w:nsid w:val="784F4D70"/>
    <w:multiLevelType w:val="hybridMultilevel"/>
    <w:tmpl w:val="3036DB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F4A0E1E"/>
    <w:multiLevelType w:val="hybridMultilevel"/>
    <w:tmpl w:val="1E6A4B22"/>
    <w:lvl w:ilvl="0" w:tplc="52A87670">
      <w:start w:val="26"/>
      <w:numFmt w:val="bullet"/>
      <w:lvlText w:val="-"/>
      <w:lvlJc w:val="left"/>
      <w:pPr>
        <w:ind w:left="553" w:hanging="360"/>
      </w:pPr>
      <w:rPr>
        <w:rFonts w:ascii="Times New Roman" w:eastAsia="Times New Roman" w:hAnsi="Times New Roman" w:cs="Times New Roman" w:hint="default"/>
      </w:rPr>
    </w:lvl>
    <w:lvl w:ilvl="1" w:tplc="04090003" w:tentative="1">
      <w:start w:val="1"/>
      <w:numFmt w:val="bullet"/>
      <w:lvlText w:val="o"/>
      <w:lvlJc w:val="left"/>
      <w:pPr>
        <w:ind w:left="1273" w:hanging="360"/>
      </w:pPr>
      <w:rPr>
        <w:rFonts w:ascii="Courier New" w:hAnsi="Courier New" w:cs="Courier New" w:hint="default"/>
      </w:rPr>
    </w:lvl>
    <w:lvl w:ilvl="2" w:tplc="04090005" w:tentative="1">
      <w:start w:val="1"/>
      <w:numFmt w:val="bullet"/>
      <w:lvlText w:val=""/>
      <w:lvlJc w:val="left"/>
      <w:pPr>
        <w:ind w:left="1993" w:hanging="360"/>
      </w:pPr>
      <w:rPr>
        <w:rFonts w:ascii="Wingdings" w:hAnsi="Wingdings" w:hint="default"/>
      </w:rPr>
    </w:lvl>
    <w:lvl w:ilvl="3" w:tplc="04090001" w:tentative="1">
      <w:start w:val="1"/>
      <w:numFmt w:val="bullet"/>
      <w:lvlText w:val=""/>
      <w:lvlJc w:val="left"/>
      <w:pPr>
        <w:ind w:left="2713" w:hanging="360"/>
      </w:pPr>
      <w:rPr>
        <w:rFonts w:ascii="Symbol" w:hAnsi="Symbol" w:hint="default"/>
      </w:rPr>
    </w:lvl>
    <w:lvl w:ilvl="4" w:tplc="04090003" w:tentative="1">
      <w:start w:val="1"/>
      <w:numFmt w:val="bullet"/>
      <w:lvlText w:val="o"/>
      <w:lvlJc w:val="left"/>
      <w:pPr>
        <w:ind w:left="3433" w:hanging="360"/>
      </w:pPr>
      <w:rPr>
        <w:rFonts w:ascii="Courier New" w:hAnsi="Courier New" w:cs="Courier New" w:hint="default"/>
      </w:rPr>
    </w:lvl>
    <w:lvl w:ilvl="5" w:tplc="04090005" w:tentative="1">
      <w:start w:val="1"/>
      <w:numFmt w:val="bullet"/>
      <w:lvlText w:val=""/>
      <w:lvlJc w:val="left"/>
      <w:pPr>
        <w:ind w:left="4153" w:hanging="360"/>
      </w:pPr>
      <w:rPr>
        <w:rFonts w:ascii="Wingdings" w:hAnsi="Wingdings" w:hint="default"/>
      </w:rPr>
    </w:lvl>
    <w:lvl w:ilvl="6" w:tplc="04090001" w:tentative="1">
      <w:start w:val="1"/>
      <w:numFmt w:val="bullet"/>
      <w:lvlText w:val=""/>
      <w:lvlJc w:val="left"/>
      <w:pPr>
        <w:ind w:left="4873" w:hanging="360"/>
      </w:pPr>
      <w:rPr>
        <w:rFonts w:ascii="Symbol" w:hAnsi="Symbol" w:hint="default"/>
      </w:rPr>
    </w:lvl>
    <w:lvl w:ilvl="7" w:tplc="04090003" w:tentative="1">
      <w:start w:val="1"/>
      <w:numFmt w:val="bullet"/>
      <w:lvlText w:val="o"/>
      <w:lvlJc w:val="left"/>
      <w:pPr>
        <w:ind w:left="5593" w:hanging="360"/>
      </w:pPr>
      <w:rPr>
        <w:rFonts w:ascii="Courier New" w:hAnsi="Courier New" w:cs="Courier New" w:hint="default"/>
      </w:rPr>
    </w:lvl>
    <w:lvl w:ilvl="8" w:tplc="04090005" w:tentative="1">
      <w:start w:val="1"/>
      <w:numFmt w:val="bullet"/>
      <w:lvlText w:val=""/>
      <w:lvlJc w:val="left"/>
      <w:pPr>
        <w:ind w:left="6313" w:hanging="360"/>
      </w:pPr>
      <w:rPr>
        <w:rFonts w:ascii="Wingdings" w:hAnsi="Wingdings" w:hint="default"/>
      </w:rPr>
    </w:lvl>
  </w:abstractNum>
  <w:num w:numId="1">
    <w:abstractNumId w:val="7"/>
  </w:num>
  <w:num w:numId="2">
    <w:abstractNumId w:val="5"/>
  </w:num>
  <w:num w:numId="3">
    <w:abstractNumId w:val="21"/>
  </w:num>
  <w:num w:numId="4">
    <w:abstractNumId w:val="13"/>
  </w:num>
  <w:num w:numId="5">
    <w:abstractNumId w:val="2"/>
  </w:num>
  <w:num w:numId="6">
    <w:abstractNumId w:val="9"/>
  </w:num>
  <w:num w:numId="7">
    <w:abstractNumId w:val="4"/>
  </w:num>
  <w:num w:numId="8">
    <w:abstractNumId w:val="14"/>
  </w:num>
  <w:num w:numId="9">
    <w:abstractNumId w:val="22"/>
  </w:num>
  <w:num w:numId="10">
    <w:abstractNumId w:val="25"/>
  </w:num>
  <w:num w:numId="11">
    <w:abstractNumId w:val="1"/>
  </w:num>
  <w:num w:numId="12">
    <w:abstractNumId w:val="15"/>
  </w:num>
  <w:num w:numId="13">
    <w:abstractNumId w:val="10"/>
  </w:num>
  <w:num w:numId="14">
    <w:abstractNumId w:val="3"/>
  </w:num>
  <w:num w:numId="15">
    <w:abstractNumId w:val="8"/>
  </w:num>
  <w:num w:numId="16">
    <w:abstractNumId w:val="18"/>
  </w:num>
  <w:num w:numId="17">
    <w:abstractNumId w:val="0"/>
  </w:num>
  <w:num w:numId="18">
    <w:abstractNumId w:val="12"/>
  </w:num>
  <w:num w:numId="19">
    <w:abstractNumId w:val="17"/>
  </w:num>
  <w:num w:numId="20">
    <w:abstractNumId w:val="19"/>
  </w:num>
  <w:num w:numId="21">
    <w:abstractNumId w:val="24"/>
  </w:num>
  <w:num w:numId="22">
    <w:abstractNumId w:val="23"/>
  </w:num>
  <w:num w:numId="23">
    <w:abstractNumId w:val="20"/>
  </w:num>
  <w:num w:numId="24">
    <w:abstractNumId w:val="6"/>
  </w:num>
  <w:num w:numId="25">
    <w:abstractNumId w:val="16"/>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31DC"/>
    <w:rsid w:val="000074CB"/>
    <w:rsid w:val="000078B5"/>
    <w:rsid w:val="000123C5"/>
    <w:rsid w:val="00016D9C"/>
    <w:rsid w:val="0003279C"/>
    <w:rsid w:val="000419BF"/>
    <w:rsid w:val="0004437C"/>
    <w:rsid w:val="00044CA9"/>
    <w:rsid w:val="00045AC7"/>
    <w:rsid w:val="00055A85"/>
    <w:rsid w:val="00065E1C"/>
    <w:rsid w:val="000727C7"/>
    <w:rsid w:val="000878A4"/>
    <w:rsid w:val="00096EE5"/>
    <w:rsid w:val="000A0ADA"/>
    <w:rsid w:val="000A55AB"/>
    <w:rsid w:val="000A5616"/>
    <w:rsid w:val="000C0DC0"/>
    <w:rsid w:val="000D7CDA"/>
    <w:rsid w:val="000F1DBD"/>
    <w:rsid w:val="000F5487"/>
    <w:rsid w:val="00103190"/>
    <w:rsid w:val="0011165A"/>
    <w:rsid w:val="00113A6F"/>
    <w:rsid w:val="00121995"/>
    <w:rsid w:val="00142213"/>
    <w:rsid w:val="001443E2"/>
    <w:rsid w:val="00151DB4"/>
    <w:rsid w:val="00156790"/>
    <w:rsid w:val="001613FF"/>
    <w:rsid w:val="001629D2"/>
    <w:rsid w:val="00165190"/>
    <w:rsid w:val="00171BF0"/>
    <w:rsid w:val="0017533E"/>
    <w:rsid w:val="001829D2"/>
    <w:rsid w:val="00187562"/>
    <w:rsid w:val="0019088C"/>
    <w:rsid w:val="001A09CC"/>
    <w:rsid w:val="001B07AD"/>
    <w:rsid w:val="001B29F5"/>
    <w:rsid w:val="001B2A2F"/>
    <w:rsid w:val="001B3DB3"/>
    <w:rsid w:val="001B58BF"/>
    <w:rsid w:val="001B5D79"/>
    <w:rsid w:val="001D1C04"/>
    <w:rsid w:val="001D2DE9"/>
    <w:rsid w:val="001D51DE"/>
    <w:rsid w:val="001F4FE8"/>
    <w:rsid w:val="002172F2"/>
    <w:rsid w:val="00217320"/>
    <w:rsid w:val="00220626"/>
    <w:rsid w:val="00222F06"/>
    <w:rsid w:val="00237294"/>
    <w:rsid w:val="00242191"/>
    <w:rsid w:val="002434EE"/>
    <w:rsid w:val="00247F1B"/>
    <w:rsid w:val="00252FF5"/>
    <w:rsid w:val="002531DC"/>
    <w:rsid w:val="002556DA"/>
    <w:rsid w:val="00257CBA"/>
    <w:rsid w:val="00257EE9"/>
    <w:rsid w:val="00264990"/>
    <w:rsid w:val="00264CE9"/>
    <w:rsid w:val="002667D0"/>
    <w:rsid w:val="00267AD2"/>
    <w:rsid w:val="002741B1"/>
    <w:rsid w:val="002775BC"/>
    <w:rsid w:val="0028315C"/>
    <w:rsid w:val="00291F8E"/>
    <w:rsid w:val="002A0791"/>
    <w:rsid w:val="002B27B8"/>
    <w:rsid w:val="002B48D2"/>
    <w:rsid w:val="002C2A8F"/>
    <w:rsid w:val="002E1CE0"/>
    <w:rsid w:val="002F0A59"/>
    <w:rsid w:val="002F23C8"/>
    <w:rsid w:val="00300BD8"/>
    <w:rsid w:val="00301705"/>
    <w:rsid w:val="00305B0C"/>
    <w:rsid w:val="00306107"/>
    <w:rsid w:val="003142A4"/>
    <w:rsid w:val="003165F2"/>
    <w:rsid w:val="00327DD4"/>
    <w:rsid w:val="00333632"/>
    <w:rsid w:val="00335633"/>
    <w:rsid w:val="003361DE"/>
    <w:rsid w:val="00344E8A"/>
    <w:rsid w:val="0035003B"/>
    <w:rsid w:val="00353DE1"/>
    <w:rsid w:val="003574DB"/>
    <w:rsid w:val="003632E0"/>
    <w:rsid w:val="003636EC"/>
    <w:rsid w:val="00373149"/>
    <w:rsid w:val="00375C4F"/>
    <w:rsid w:val="00380172"/>
    <w:rsid w:val="003845FC"/>
    <w:rsid w:val="0039356E"/>
    <w:rsid w:val="003A25D4"/>
    <w:rsid w:val="003A2C50"/>
    <w:rsid w:val="003A41CF"/>
    <w:rsid w:val="003A5055"/>
    <w:rsid w:val="003B3A43"/>
    <w:rsid w:val="003C061F"/>
    <w:rsid w:val="003C475E"/>
    <w:rsid w:val="003D01D2"/>
    <w:rsid w:val="003D3F6D"/>
    <w:rsid w:val="003D6BDC"/>
    <w:rsid w:val="003D7C4F"/>
    <w:rsid w:val="003E2C57"/>
    <w:rsid w:val="003E4D97"/>
    <w:rsid w:val="003F2D44"/>
    <w:rsid w:val="003F3160"/>
    <w:rsid w:val="003F70B5"/>
    <w:rsid w:val="00407E5B"/>
    <w:rsid w:val="00412C8C"/>
    <w:rsid w:val="00413767"/>
    <w:rsid w:val="004144E5"/>
    <w:rsid w:val="00414E71"/>
    <w:rsid w:val="00422374"/>
    <w:rsid w:val="004261FE"/>
    <w:rsid w:val="00442CFF"/>
    <w:rsid w:val="00446A2A"/>
    <w:rsid w:val="00450552"/>
    <w:rsid w:val="00451016"/>
    <w:rsid w:val="00460326"/>
    <w:rsid w:val="00460F8D"/>
    <w:rsid w:val="0047165E"/>
    <w:rsid w:val="00472757"/>
    <w:rsid w:val="00472BB2"/>
    <w:rsid w:val="004A51F2"/>
    <w:rsid w:val="004A780F"/>
    <w:rsid w:val="004D3D67"/>
    <w:rsid w:val="004D5B60"/>
    <w:rsid w:val="004E16F3"/>
    <w:rsid w:val="004F4C9A"/>
    <w:rsid w:val="00512CE6"/>
    <w:rsid w:val="00532E16"/>
    <w:rsid w:val="005342BD"/>
    <w:rsid w:val="0053437A"/>
    <w:rsid w:val="00534629"/>
    <w:rsid w:val="00534EB2"/>
    <w:rsid w:val="00535B06"/>
    <w:rsid w:val="00545BFB"/>
    <w:rsid w:val="00556854"/>
    <w:rsid w:val="00557E24"/>
    <w:rsid w:val="00565B1D"/>
    <w:rsid w:val="00573BBE"/>
    <w:rsid w:val="00580A2A"/>
    <w:rsid w:val="00581127"/>
    <w:rsid w:val="00582FC0"/>
    <w:rsid w:val="00587F1B"/>
    <w:rsid w:val="00594776"/>
    <w:rsid w:val="00594BE6"/>
    <w:rsid w:val="005952FC"/>
    <w:rsid w:val="005A02F3"/>
    <w:rsid w:val="005A102A"/>
    <w:rsid w:val="005A5B0F"/>
    <w:rsid w:val="005A6639"/>
    <w:rsid w:val="005A6D46"/>
    <w:rsid w:val="005B6ABB"/>
    <w:rsid w:val="005E4590"/>
    <w:rsid w:val="005E7AB1"/>
    <w:rsid w:val="005F3A50"/>
    <w:rsid w:val="005F55C2"/>
    <w:rsid w:val="005F59EE"/>
    <w:rsid w:val="005F6E32"/>
    <w:rsid w:val="006005E3"/>
    <w:rsid w:val="00602A0A"/>
    <w:rsid w:val="00610FF8"/>
    <w:rsid w:val="00615B9B"/>
    <w:rsid w:val="00633994"/>
    <w:rsid w:val="0064118E"/>
    <w:rsid w:val="00661AF4"/>
    <w:rsid w:val="00672BA6"/>
    <w:rsid w:val="0067644D"/>
    <w:rsid w:val="006768E4"/>
    <w:rsid w:val="0069601C"/>
    <w:rsid w:val="00696A03"/>
    <w:rsid w:val="006970B3"/>
    <w:rsid w:val="006A6851"/>
    <w:rsid w:val="006B7411"/>
    <w:rsid w:val="006C1D3D"/>
    <w:rsid w:val="006C254C"/>
    <w:rsid w:val="006E1B4B"/>
    <w:rsid w:val="00712172"/>
    <w:rsid w:val="0072699E"/>
    <w:rsid w:val="007312C6"/>
    <w:rsid w:val="00732C6C"/>
    <w:rsid w:val="0075438C"/>
    <w:rsid w:val="007554AF"/>
    <w:rsid w:val="00755652"/>
    <w:rsid w:val="0076237F"/>
    <w:rsid w:val="007639E0"/>
    <w:rsid w:val="00765032"/>
    <w:rsid w:val="00776D0E"/>
    <w:rsid w:val="00787465"/>
    <w:rsid w:val="00790A29"/>
    <w:rsid w:val="00793A91"/>
    <w:rsid w:val="0079440A"/>
    <w:rsid w:val="007A3D1F"/>
    <w:rsid w:val="007B69A6"/>
    <w:rsid w:val="007B6D76"/>
    <w:rsid w:val="007C762E"/>
    <w:rsid w:val="007D5888"/>
    <w:rsid w:val="007D7136"/>
    <w:rsid w:val="007F07DB"/>
    <w:rsid w:val="007F2FE7"/>
    <w:rsid w:val="007F3158"/>
    <w:rsid w:val="00807B22"/>
    <w:rsid w:val="00814A63"/>
    <w:rsid w:val="00815413"/>
    <w:rsid w:val="00830E29"/>
    <w:rsid w:val="008342A4"/>
    <w:rsid w:val="00834750"/>
    <w:rsid w:val="00835707"/>
    <w:rsid w:val="0083638F"/>
    <w:rsid w:val="00840E9F"/>
    <w:rsid w:val="00855107"/>
    <w:rsid w:val="008570F2"/>
    <w:rsid w:val="00862317"/>
    <w:rsid w:val="00871281"/>
    <w:rsid w:val="008765BE"/>
    <w:rsid w:val="008769BC"/>
    <w:rsid w:val="00891B0D"/>
    <w:rsid w:val="008D465F"/>
    <w:rsid w:val="008D4C98"/>
    <w:rsid w:val="008E2042"/>
    <w:rsid w:val="008E6499"/>
    <w:rsid w:val="00900D72"/>
    <w:rsid w:val="00901584"/>
    <w:rsid w:val="00903498"/>
    <w:rsid w:val="00911A11"/>
    <w:rsid w:val="00914C93"/>
    <w:rsid w:val="0091601F"/>
    <w:rsid w:val="009170FB"/>
    <w:rsid w:val="00920DF9"/>
    <w:rsid w:val="009223A4"/>
    <w:rsid w:val="0093715A"/>
    <w:rsid w:val="0093796D"/>
    <w:rsid w:val="00944F06"/>
    <w:rsid w:val="00945154"/>
    <w:rsid w:val="00946C27"/>
    <w:rsid w:val="00946E38"/>
    <w:rsid w:val="00953DE7"/>
    <w:rsid w:val="00956468"/>
    <w:rsid w:val="00960D56"/>
    <w:rsid w:val="00964607"/>
    <w:rsid w:val="0096504C"/>
    <w:rsid w:val="00965998"/>
    <w:rsid w:val="00981EF4"/>
    <w:rsid w:val="009842A8"/>
    <w:rsid w:val="00994080"/>
    <w:rsid w:val="009943D2"/>
    <w:rsid w:val="009A0244"/>
    <w:rsid w:val="009A24CB"/>
    <w:rsid w:val="009A6BB8"/>
    <w:rsid w:val="009A799C"/>
    <w:rsid w:val="009B4DAF"/>
    <w:rsid w:val="009B636E"/>
    <w:rsid w:val="009C1A16"/>
    <w:rsid w:val="009C6EFB"/>
    <w:rsid w:val="009D3673"/>
    <w:rsid w:val="009D4A3F"/>
    <w:rsid w:val="009D4A76"/>
    <w:rsid w:val="009D6ADA"/>
    <w:rsid w:val="009F40F6"/>
    <w:rsid w:val="009F67DB"/>
    <w:rsid w:val="00A04D72"/>
    <w:rsid w:val="00A05821"/>
    <w:rsid w:val="00A3151D"/>
    <w:rsid w:val="00A358E6"/>
    <w:rsid w:val="00A42B83"/>
    <w:rsid w:val="00A43BB3"/>
    <w:rsid w:val="00A43C2F"/>
    <w:rsid w:val="00A469EA"/>
    <w:rsid w:val="00A503D0"/>
    <w:rsid w:val="00A6011A"/>
    <w:rsid w:val="00A61D3F"/>
    <w:rsid w:val="00A63B6C"/>
    <w:rsid w:val="00A667DE"/>
    <w:rsid w:val="00A71157"/>
    <w:rsid w:val="00A73118"/>
    <w:rsid w:val="00A73867"/>
    <w:rsid w:val="00A74FD8"/>
    <w:rsid w:val="00A752FA"/>
    <w:rsid w:val="00A817C4"/>
    <w:rsid w:val="00A8258B"/>
    <w:rsid w:val="00AB1869"/>
    <w:rsid w:val="00AB5A7F"/>
    <w:rsid w:val="00AE602A"/>
    <w:rsid w:val="00AE62E2"/>
    <w:rsid w:val="00AE78E2"/>
    <w:rsid w:val="00B02C53"/>
    <w:rsid w:val="00B04F1E"/>
    <w:rsid w:val="00B06D7B"/>
    <w:rsid w:val="00B144C7"/>
    <w:rsid w:val="00B163FF"/>
    <w:rsid w:val="00B2034D"/>
    <w:rsid w:val="00B22A85"/>
    <w:rsid w:val="00B27375"/>
    <w:rsid w:val="00B41F43"/>
    <w:rsid w:val="00B43ABC"/>
    <w:rsid w:val="00B45BE8"/>
    <w:rsid w:val="00B465C4"/>
    <w:rsid w:val="00B534E0"/>
    <w:rsid w:val="00B56091"/>
    <w:rsid w:val="00B61C66"/>
    <w:rsid w:val="00B663EF"/>
    <w:rsid w:val="00B81C8D"/>
    <w:rsid w:val="00B8212B"/>
    <w:rsid w:val="00B87BA5"/>
    <w:rsid w:val="00B9472F"/>
    <w:rsid w:val="00B97D62"/>
    <w:rsid w:val="00BA2776"/>
    <w:rsid w:val="00BA37DC"/>
    <w:rsid w:val="00BC1B58"/>
    <w:rsid w:val="00BD3B9E"/>
    <w:rsid w:val="00BE4089"/>
    <w:rsid w:val="00BE67AF"/>
    <w:rsid w:val="00BF0491"/>
    <w:rsid w:val="00C005D3"/>
    <w:rsid w:val="00C04651"/>
    <w:rsid w:val="00C04779"/>
    <w:rsid w:val="00C05CD2"/>
    <w:rsid w:val="00C06884"/>
    <w:rsid w:val="00C17452"/>
    <w:rsid w:val="00C225FC"/>
    <w:rsid w:val="00C25D98"/>
    <w:rsid w:val="00C27BCE"/>
    <w:rsid w:val="00C3278D"/>
    <w:rsid w:val="00C41E98"/>
    <w:rsid w:val="00C461BE"/>
    <w:rsid w:val="00C479C4"/>
    <w:rsid w:val="00C535D8"/>
    <w:rsid w:val="00C61163"/>
    <w:rsid w:val="00C61696"/>
    <w:rsid w:val="00C6392E"/>
    <w:rsid w:val="00C7096C"/>
    <w:rsid w:val="00C9613D"/>
    <w:rsid w:val="00CA2631"/>
    <w:rsid w:val="00CA6F36"/>
    <w:rsid w:val="00CB1813"/>
    <w:rsid w:val="00CB4677"/>
    <w:rsid w:val="00CB7D15"/>
    <w:rsid w:val="00CC1566"/>
    <w:rsid w:val="00CC1682"/>
    <w:rsid w:val="00CC196A"/>
    <w:rsid w:val="00CC564B"/>
    <w:rsid w:val="00CC5BB2"/>
    <w:rsid w:val="00CC5D2B"/>
    <w:rsid w:val="00CD08EC"/>
    <w:rsid w:val="00CD1D5E"/>
    <w:rsid w:val="00CF1F2A"/>
    <w:rsid w:val="00CF2C4F"/>
    <w:rsid w:val="00CF3F42"/>
    <w:rsid w:val="00CF46C3"/>
    <w:rsid w:val="00D06ECD"/>
    <w:rsid w:val="00D12631"/>
    <w:rsid w:val="00D13A88"/>
    <w:rsid w:val="00D205A1"/>
    <w:rsid w:val="00D21B91"/>
    <w:rsid w:val="00D23F72"/>
    <w:rsid w:val="00D26CAF"/>
    <w:rsid w:val="00D30B3C"/>
    <w:rsid w:val="00D46BE1"/>
    <w:rsid w:val="00D62235"/>
    <w:rsid w:val="00D70002"/>
    <w:rsid w:val="00D82896"/>
    <w:rsid w:val="00D85118"/>
    <w:rsid w:val="00D910E1"/>
    <w:rsid w:val="00DA2DA3"/>
    <w:rsid w:val="00DA4E2C"/>
    <w:rsid w:val="00DA6411"/>
    <w:rsid w:val="00DB0A49"/>
    <w:rsid w:val="00DB0BB2"/>
    <w:rsid w:val="00DB0CF3"/>
    <w:rsid w:val="00DB3944"/>
    <w:rsid w:val="00DB7635"/>
    <w:rsid w:val="00DC065E"/>
    <w:rsid w:val="00DC1795"/>
    <w:rsid w:val="00DF5B5D"/>
    <w:rsid w:val="00E00C5D"/>
    <w:rsid w:val="00E02C11"/>
    <w:rsid w:val="00E03733"/>
    <w:rsid w:val="00E064AA"/>
    <w:rsid w:val="00E2197B"/>
    <w:rsid w:val="00E26750"/>
    <w:rsid w:val="00E30066"/>
    <w:rsid w:val="00E309A8"/>
    <w:rsid w:val="00E367D7"/>
    <w:rsid w:val="00E47D21"/>
    <w:rsid w:val="00E510DE"/>
    <w:rsid w:val="00E539C0"/>
    <w:rsid w:val="00E55EDA"/>
    <w:rsid w:val="00E60212"/>
    <w:rsid w:val="00E6721A"/>
    <w:rsid w:val="00E7739A"/>
    <w:rsid w:val="00E946EF"/>
    <w:rsid w:val="00E976C9"/>
    <w:rsid w:val="00EA1D8C"/>
    <w:rsid w:val="00EA57D2"/>
    <w:rsid w:val="00EB07AC"/>
    <w:rsid w:val="00EB24EF"/>
    <w:rsid w:val="00EB7E2C"/>
    <w:rsid w:val="00EC5B83"/>
    <w:rsid w:val="00ED61A8"/>
    <w:rsid w:val="00EF4E0D"/>
    <w:rsid w:val="00EF71E3"/>
    <w:rsid w:val="00EF7EC9"/>
    <w:rsid w:val="00F06052"/>
    <w:rsid w:val="00F07281"/>
    <w:rsid w:val="00F12546"/>
    <w:rsid w:val="00F14004"/>
    <w:rsid w:val="00F225E7"/>
    <w:rsid w:val="00F2471A"/>
    <w:rsid w:val="00F30484"/>
    <w:rsid w:val="00F347BC"/>
    <w:rsid w:val="00F34EF7"/>
    <w:rsid w:val="00F360BE"/>
    <w:rsid w:val="00F403B0"/>
    <w:rsid w:val="00F412B5"/>
    <w:rsid w:val="00F45D5A"/>
    <w:rsid w:val="00F51A8B"/>
    <w:rsid w:val="00F56CBF"/>
    <w:rsid w:val="00F629B7"/>
    <w:rsid w:val="00F63875"/>
    <w:rsid w:val="00F66A9D"/>
    <w:rsid w:val="00F67450"/>
    <w:rsid w:val="00F67CEF"/>
    <w:rsid w:val="00F712C0"/>
    <w:rsid w:val="00F765EC"/>
    <w:rsid w:val="00F85944"/>
    <w:rsid w:val="00F9053D"/>
    <w:rsid w:val="00F91151"/>
    <w:rsid w:val="00F94D86"/>
    <w:rsid w:val="00FA1A62"/>
    <w:rsid w:val="00FA1B8B"/>
    <w:rsid w:val="00FB1F9C"/>
    <w:rsid w:val="00FB288C"/>
    <w:rsid w:val="00FB6F62"/>
    <w:rsid w:val="00FC33E0"/>
    <w:rsid w:val="00FC78C6"/>
    <w:rsid w:val="00FD2DD6"/>
    <w:rsid w:val="00FE1EB7"/>
    <w:rsid w:val="00FE218B"/>
    <w:rsid w:val="00FE33B7"/>
    <w:rsid w:val="00FE503D"/>
    <w:rsid w:val="00FE5B5E"/>
    <w:rsid w:val="00FE7DE4"/>
    <w:rsid w:val="00FF3852"/>
    <w:rsid w:val="00FF39A7"/>
    <w:rsid w:val="00FF5B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4:docId w14:val="6333A8E7"/>
  <w15:docId w15:val="{EEA059A0-2948-4C02-9953-FE90633FD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31DC"/>
    <w:pPr>
      <w:spacing w:after="0" w:line="240" w:lineRule="auto"/>
    </w:pPr>
    <w:rPr>
      <w:rFonts w:ascii="Arial" w:eastAsia="Times New Roman" w:hAnsi="Arial"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53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531DC"/>
    <w:pPr>
      <w:spacing w:after="200" w:line="276" w:lineRule="auto"/>
      <w:ind w:left="720"/>
      <w:contextualSpacing/>
    </w:pPr>
    <w:rPr>
      <w:rFonts w:asciiTheme="minorHAnsi" w:eastAsiaTheme="minorHAnsi" w:hAnsiTheme="minorHAnsi" w:cstheme="minorBidi"/>
      <w:sz w:val="22"/>
      <w:szCs w:val="22"/>
    </w:rPr>
  </w:style>
  <w:style w:type="paragraph" w:styleId="Footer">
    <w:name w:val="footer"/>
    <w:basedOn w:val="Normal"/>
    <w:link w:val="FooterChar"/>
    <w:uiPriority w:val="99"/>
    <w:unhideWhenUsed/>
    <w:rsid w:val="002531DC"/>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2531DC"/>
  </w:style>
  <w:style w:type="paragraph" w:styleId="FootnoteText">
    <w:name w:val="footnote text"/>
    <w:basedOn w:val="Normal"/>
    <w:link w:val="FootnoteTextChar"/>
    <w:unhideWhenUsed/>
    <w:rsid w:val="00460F8D"/>
    <w:rPr>
      <w:rFonts w:ascii="VNI-Times" w:hAnsi="VNI-Times"/>
    </w:rPr>
  </w:style>
  <w:style w:type="character" w:customStyle="1" w:styleId="FootnoteTextChar">
    <w:name w:val="Footnote Text Char"/>
    <w:basedOn w:val="DefaultParagraphFont"/>
    <w:link w:val="FootnoteText"/>
    <w:rsid w:val="00460F8D"/>
    <w:rPr>
      <w:rFonts w:ascii="VNI-Times" w:eastAsia="Times New Roman" w:hAnsi="VNI-Times" w:cs="Times New Roman"/>
      <w:sz w:val="20"/>
      <w:szCs w:val="20"/>
    </w:rPr>
  </w:style>
  <w:style w:type="character" w:styleId="FootnoteReference">
    <w:name w:val="footnote reference"/>
    <w:aliases w:val="Footnote text,ftref,BearingPoint,16 Point,Superscript 6 Point,fr,Footnote Text1,Footnote Text Char Char Char Char Char Char Ch Char Char Char Char Char Char C,f,Ref,de nota al pie,Footnote + Arial,10 pt,Black,Footnote Text11,Footnote"/>
    <w:link w:val="BVIfnrCarCar"/>
    <w:unhideWhenUsed/>
    <w:qFormat/>
    <w:rsid w:val="00460F8D"/>
    <w:rPr>
      <w:vertAlign w:val="superscript"/>
    </w:rPr>
  </w:style>
  <w:style w:type="paragraph" w:styleId="NormalWeb">
    <w:name w:val="Normal (Web)"/>
    <w:basedOn w:val="Normal"/>
    <w:uiPriority w:val="99"/>
    <w:semiHidden/>
    <w:unhideWhenUsed/>
    <w:rsid w:val="00956468"/>
    <w:rPr>
      <w:rFonts w:ascii="Times New Roman" w:hAnsi="Times New Roman"/>
      <w:sz w:val="24"/>
      <w:szCs w:val="24"/>
    </w:rPr>
  </w:style>
  <w:style w:type="paragraph" w:styleId="BalloonText">
    <w:name w:val="Balloon Text"/>
    <w:basedOn w:val="Normal"/>
    <w:link w:val="BalloonTextChar"/>
    <w:uiPriority w:val="99"/>
    <w:semiHidden/>
    <w:unhideWhenUsed/>
    <w:rsid w:val="002E1CE0"/>
    <w:rPr>
      <w:rFonts w:ascii="Tahoma" w:hAnsi="Tahoma" w:cs="Tahoma"/>
      <w:sz w:val="16"/>
      <w:szCs w:val="16"/>
    </w:rPr>
  </w:style>
  <w:style w:type="character" w:customStyle="1" w:styleId="BalloonTextChar">
    <w:name w:val="Balloon Text Char"/>
    <w:basedOn w:val="DefaultParagraphFont"/>
    <w:link w:val="BalloonText"/>
    <w:uiPriority w:val="99"/>
    <w:semiHidden/>
    <w:rsid w:val="002E1CE0"/>
    <w:rPr>
      <w:rFonts w:ascii="Tahoma" w:eastAsia="Times New Roman" w:hAnsi="Tahoma" w:cs="Tahoma"/>
      <w:sz w:val="16"/>
      <w:szCs w:val="16"/>
    </w:rPr>
  </w:style>
  <w:style w:type="paragraph" w:customStyle="1" w:styleId="BVIfnrCarCar">
    <w:name w:val="BVI fnr Car Car"/>
    <w:aliases w:val="BVI fnr Car,BVI fnr Car Car Car Car Char"/>
    <w:basedOn w:val="Normal"/>
    <w:link w:val="FootnoteReference"/>
    <w:qFormat/>
    <w:rsid w:val="00B45BE8"/>
    <w:pPr>
      <w:spacing w:after="160" w:line="240" w:lineRule="exact"/>
    </w:pPr>
    <w:rPr>
      <w:rFonts w:asciiTheme="minorHAnsi" w:eastAsiaTheme="minorHAnsi" w:hAnsiTheme="minorHAnsi" w:cstheme="minorBidi"/>
      <w:sz w:val="22"/>
      <w:szCs w:val="22"/>
      <w:vertAlign w:val="superscript"/>
    </w:rPr>
  </w:style>
  <w:style w:type="paragraph" w:styleId="Header">
    <w:name w:val="header"/>
    <w:basedOn w:val="Normal"/>
    <w:link w:val="HeaderChar"/>
    <w:uiPriority w:val="99"/>
    <w:unhideWhenUsed/>
    <w:rsid w:val="00D13A88"/>
    <w:pPr>
      <w:tabs>
        <w:tab w:val="center" w:pos="4680"/>
        <w:tab w:val="right" w:pos="9360"/>
      </w:tabs>
    </w:pPr>
  </w:style>
  <w:style w:type="character" w:customStyle="1" w:styleId="HeaderChar">
    <w:name w:val="Header Char"/>
    <w:basedOn w:val="DefaultParagraphFont"/>
    <w:link w:val="Header"/>
    <w:uiPriority w:val="99"/>
    <w:rsid w:val="00D13A88"/>
    <w:rPr>
      <w:rFonts w:ascii="Arial" w:eastAsia="Times New Roman" w:hAnsi="Arial"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550501">
      <w:bodyDiv w:val="1"/>
      <w:marLeft w:val="0"/>
      <w:marRight w:val="0"/>
      <w:marTop w:val="0"/>
      <w:marBottom w:val="0"/>
      <w:divBdr>
        <w:top w:val="none" w:sz="0" w:space="0" w:color="auto"/>
        <w:left w:val="none" w:sz="0" w:space="0" w:color="auto"/>
        <w:bottom w:val="none" w:sz="0" w:space="0" w:color="auto"/>
        <w:right w:val="none" w:sz="0" w:space="0" w:color="auto"/>
      </w:divBdr>
    </w:div>
    <w:div w:id="83571414">
      <w:bodyDiv w:val="1"/>
      <w:marLeft w:val="0"/>
      <w:marRight w:val="0"/>
      <w:marTop w:val="0"/>
      <w:marBottom w:val="0"/>
      <w:divBdr>
        <w:top w:val="none" w:sz="0" w:space="0" w:color="auto"/>
        <w:left w:val="none" w:sz="0" w:space="0" w:color="auto"/>
        <w:bottom w:val="none" w:sz="0" w:space="0" w:color="auto"/>
        <w:right w:val="none" w:sz="0" w:space="0" w:color="auto"/>
      </w:divBdr>
    </w:div>
    <w:div w:id="146824714">
      <w:bodyDiv w:val="1"/>
      <w:marLeft w:val="0"/>
      <w:marRight w:val="0"/>
      <w:marTop w:val="0"/>
      <w:marBottom w:val="0"/>
      <w:divBdr>
        <w:top w:val="none" w:sz="0" w:space="0" w:color="auto"/>
        <w:left w:val="none" w:sz="0" w:space="0" w:color="auto"/>
        <w:bottom w:val="none" w:sz="0" w:space="0" w:color="auto"/>
        <w:right w:val="none" w:sz="0" w:space="0" w:color="auto"/>
      </w:divBdr>
    </w:div>
    <w:div w:id="147208350">
      <w:bodyDiv w:val="1"/>
      <w:marLeft w:val="0"/>
      <w:marRight w:val="0"/>
      <w:marTop w:val="0"/>
      <w:marBottom w:val="0"/>
      <w:divBdr>
        <w:top w:val="none" w:sz="0" w:space="0" w:color="auto"/>
        <w:left w:val="none" w:sz="0" w:space="0" w:color="auto"/>
        <w:bottom w:val="none" w:sz="0" w:space="0" w:color="auto"/>
        <w:right w:val="none" w:sz="0" w:space="0" w:color="auto"/>
      </w:divBdr>
    </w:div>
    <w:div w:id="155341053">
      <w:bodyDiv w:val="1"/>
      <w:marLeft w:val="0"/>
      <w:marRight w:val="0"/>
      <w:marTop w:val="0"/>
      <w:marBottom w:val="0"/>
      <w:divBdr>
        <w:top w:val="none" w:sz="0" w:space="0" w:color="auto"/>
        <w:left w:val="none" w:sz="0" w:space="0" w:color="auto"/>
        <w:bottom w:val="none" w:sz="0" w:space="0" w:color="auto"/>
        <w:right w:val="none" w:sz="0" w:space="0" w:color="auto"/>
      </w:divBdr>
    </w:div>
    <w:div w:id="173039895">
      <w:bodyDiv w:val="1"/>
      <w:marLeft w:val="0"/>
      <w:marRight w:val="0"/>
      <w:marTop w:val="0"/>
      <w:marBottom w:val="0"/>
      <w:divBdr>
        <w:top w:val="none" w:sz="0" w:space="0" w:color="auto"/>
        <w:left w:val="none" w:sz="0" w:space="0" w:color="auto"/>
        <w:bottom w:val="none" w:sz="0" w:space="0" w:color="auto"/>
        <w:right w:val="none" w:sz="0" w:space="0" w:color="auto"/>
      </w:divBdr>
    </w:div>
    <w:div w:id="287247921">
      <w:bodyDiv w:val="1"/>
      <w:marLeft w:val="0"/>
      <w:marRight w:val="0"/>
      <w:marTop w:val="0"/>
      <w:marBottom w:val="0"/>
      <w:divBdr>
        <w:top w:val="none" w:sz="0" w:space="0" w:color="auto"/>
        <w:left w:val="none" w:sz="0" w:space="0" w:color="auto"/>
        <w:bottom w:val="none" w:sz="0" w:space="0" w:color="auto"/>
        <w:right w:val="none" w:sz="0" w:space="0" w:color="auto"/>
      </w:divBdr>
    </w:div>
    <w:div w:id="287441091">
      <w:bodyDiv w:val="1"/>
      <w:marLeft w:val="0"/>
      <w:marRight w:val="0"/>
      <w:marTop w:val="0"/>
      <w:marBottom w:val="0"/>
      <w:divBdr>
        <w:top w:val="none" w:sz="0" w:space="0" w:color="auto"/>
        <w:left w:val="none" w:sz="0" w:space="0" w:color="auto"/>
        <w:bottom w:val="none" w:sz="0" w:space="0" w:color="auto"/>
        <w:right w:val="none" w:sz="0" w:space="0" w:color="auto"/>
      </w:divBdr>
    </w:div>
    <w:div w:id="307789533">
      <w:bodyDiv w:val="1"/>
      <w:marLeft w:val="0"/>
      <w:marRight w:val="0"/>
      <w:marTop w:val="0"/>
      <w:marBottom w:val="0"/>
      <w:divBdr>
        <w:top w:val="none" w:sz="0" w:space="0" w:color="auto"/>
        <w:left w:val="none" w:sz="0" w:space="0" w:color="auto"/>
        <w:bottom w:val="none" w:sz="0" w:space="0" w:color="auto"/>
        <w:right w:val="none" w:sz="0" w:space="0" w:color="auto"/>
      </w:divBdr>
    </w:div>
    <w:div w:id="353921913">
      <w:bodyDiv w:val="1"/>
      <w:marLeft w:val="0"/>
      <w:marRight w:val="0"/>
      <w:marTop w:val="0"/>
      <w:marBottom w:val="0"/>
      <w:divBdr>
        <w:top w:val="none" w:sz="0" w:space="0" w:color="auto"/>
        <w:left w:val="none" w:sz="0" w:space="0" w:color="auto"/>
        <w:bottom w:val="none" w:sz="0" w:space="0" w:color="auto"/>
        <w:right w:val="none" w:sz="0" w:space="0" w:color="auto"/>
      </w:divBdr>
    </w:div>
    <w:div w:id="414208060">
      <w:bodyDiv w:val="1"/>
      <w:marLeft w:val="0"/>
      <w:marRight w:val="0"/>
      <w:marTop w:val="0"/>
      <w:marBottom w:val="0"/>
      <w:divBdr>
        <w:top w:val="none" w:sz="0" w:space="0" w:color="auto"/>
        <w:left w:val="none" w:sz="0" w:space="0" w:color="auto"/>
        <w:bottom w:val="none" w:sz="0" w:space="0" w:color="auto"/>
        <w:right w:val="none" w:sz="0" w:space="0" w:color="auto"/>
      </w:divBdr>
    </w:div>
    <w:div w:id="417361298">
      <w:bodyDiv w:val="1"/>
      <w:marLeft w:val="0"/>
      <w:marRight w:val="0"/>
      <w:marTop w:val="0"/>
      <w:marBottom w:val="0"/>
      <w:divBdr>
        <w:top w:val="none" w:sz="0" w:space="0" w:color="auto"/>
        <w:left w:val="none" w:sz="0" w:space="0" w:color="auto"/>
        <w:bottom w:val="none" w:sz="0" w:space="0" w:color="auto"/>
        <w:right w:val="none" w:sz="0" w:space="0" w:color="auto"/>
      </w:divBdr>
    </w:div>
    <w:div w:id="727191605">
      <w:bodyDiv w:val="1"/>
      <w:marLeft w:val="0"/>
      <w:marRight w:val="0"/>
      <w:marTop w:val="0"/>
      <w:marBottom w:val="0"/>
      <w:divBdr>
        <w:top w:val="none" w:sz="0" w:space="0" w:color="auto"/>
        <w:left w:val="none" w:sz="0" w:space="0" w:color="auto"/>
        <w:bottom w:val="none" w:sz="0" w:space="0" w:color="auto"/>
        <w:right w:val="none" w:sz="0" w:space="0" w:color="auto"/>
      </w:divBdr>
    </w:div>
    <w:div w:id="909731931">
      <w:bodyDiv w:val="1"/>
      <w:marLeft w:val="0"/>
      <w:marRight w:val="0"/>
      <w:marTop w:val="0"/>
      <w:marBottom w:val="0"/>
      <w:divBdr>
        <w:top w:val="none" w:sz="0" w:space="0" w:color="auto"/>
        <w:left w:val="none" w:sz="0" w:space="0" w:color="auto"/>
        <w:bottom w:val="none" w:sz="0" w:space="0" w:color="auto"/>
        <w:right w:val="none" w:sz="0" w:space="0" w:color="auto"/>
      </w:divBdr>
    </w:div>
    <w:div w:id="987395133">
      <w:bodyDiv w:val="1"/>
      <w:marLeft w:val="0"/>
      <w:marRight w:val="0"/>
      <w:marTop w:val="0"/>
      <w:marBottom w:val="0"/>
      <w:divBdr>
        <w:top w:val="none" w:sz="0" w:space="0" w:color="auto"/>
        <w:left w:val="none" w:sz="0" w:space="0" w:color="auto"/>
        <w:bottom w:val="none" w:sz="0" w:space="0" w:color="auto"/>
        <w:right w:val="none" w:sz="0" w:space="0" w:color="auto"/>
      </w:divBdr>
    </w:div>
    <w:div w:id="991174406">
      <w:bodyDiv w:val="1"/>
      <w:marLeft w:val="0"/>
      <w:marRight w:val="0"/>
      <w:marTop w:val="0"/>
      <w:marBottom w:val="0"/>
      <w:divBdr>
        <w:top w:val="none" w:sz="0" w:space="0" w:color="auto"/>
        <w:left w:val="none" w:sz="0" w:space="0" w:color="auto"/>
        <w:bottom w:val="none" w:sz="0" w:space="0" w:color="auto"/>
        <w:right w:val="none" w:sz="0" w:space="0" w:color="auto"/>
      </w:divBdr>
    </w:div>
    <w:div w:id="1256591255">
      <w:bodyDiv w:val="1"/>
      <w:marLeft w:val="0"/>
      <w:marRight w:val="0"/>
      <w:marTop w:val="0"/>
      <w:marBottom w:val="0"/>
      <w:divBdr>
        <w:top w:val="none" w:sz="0" w:space="0" w:color="auto"/>
        <w:left w:val="none" w:sz="0" w:space="0" w:color="auto"/>
        <w:bottom w:val="none" w:sz="0" w:space="0" w:color="auto"/>
        <w:right w:val="none" w:sz="0" w:space="0" w:color="auto"/>
      </w:divBdr>
    </w:div>
    <w:div w:id="1336346444">
      <w:bodyDiv w:val="1"/>
      <w:marLeft w:val="0"/>
      <w:marRight w:val="0"/>
      <w:marTop w:val="0"/>
      <w:marBottom w:val="0"/>
      <w:divBdr>
        <w:top w:val="none" w:sz="0" w:space="0" w:color="auto"/>
        <w:left w:val="none" w:sz="0" w:space="0" w:color="auto"/>
        <w:bottom w:val="none" w:sz="0" w:space="0" w:color="auto"/>
        <w:right w:val="none" w:sz="0" w:space="0" w:color="auto"/>
      </w:divBdr>
    </w:div>
    <w:div w:id="1337852578">
      <w:bodyDiv w:val="1"/>
      <w:marLeft w:val="0"/>
      <w:marRight w:val="0"/>
      <w:marTop w:val="0"/>
      <w:marBottom w:val="0"/>
      <w:divBdr>
        <w:top w:val="none" w:sz="0" w:space="0" w:color="auto"/>
        <w:left w:val="none" w:sz="0" w:space="0" w:color="auto"/>
        <w:bottom w:val="none" w:sz="0" w:space="0" w:color="auto"/>
        <w:right w:val="none" w:sz="0" w:space="0" w:color="auto"/>
      </w:divBdr>
    </w:div>
    <w:div w:id="1356544484">
      <w:bodyDiv w:val="1"/>
      <w:marLeft w:val="0"/>
      <w:marRight w:val="0"/>
      <w:marTop w:val="0"/>
      <w:marBottom w:val="0"/>
      <w:divBdr>
        <w:top w:val="none" w:sz="0" w:space="0" w:color="auto"/>
        <w:left w:val="none" w:sz="0" w:space="0" w:color="auto"/>
        <w:bottom w:val="none" w:sz="0" w:space="0" w:color="auto"/>
        <w:right w:val="none" w:sz="0" w:space="0" w:color="auto"/>
      </w:divBdr>
    </w:div>
    <w:div w:id="1365449473">
      <w:bodyDiv w:val="1"/>
      <w:marLeft w:val="0"/>
      <w:marRight w:val="0"/>
      <w:marTop w:val="0"/>
      <w:marBottom w:val="0"/>
      <w:divBdr>
        <w:top w:val="none" w:sz="0" w:space="0" w:color="auto"/>
        <w:left w:val="none" w:sz="0" w:space="0" w:color="auto"/>
        <w:bottom w:val="none" w:sz="0" w:space="0" w:color="auto"/>
        <w:right w:val="none" w:sz="0" w:space="0" w:color="auto"/>
      </w:divBdr>
    </w:div>
    <w:div w:id="1399013264">
      <w:bodyDiv w:val="1"/>
      <w:marLeft w:val="0"/>
      <w:marRight w:val="0"/>
      <w:marTop w:val="0"/>
      <w:marBottom w:val="0"/>
      <w:divBdr>
        <w:top w:val="none" w:sz="0" w:space="0" w:color="auto"/>
        <w:left w:val="none" w:sz="0" w:space="0" w:color="auto"/>
        <w:bottom w:val="none" w:sz="0" w:space="0" w:color="auto"/>
        <w:right w:val="none" w:sz="0" w:space="0" w:color="auto"/>
      </w:divBdr>
    </w:div>
    <w:div w:id="1706178105">
      <w:bodyDiv w:val="1"/>
      <w:marLeft w:val="0"/>
      <w:marRight w:val="0"/>
      <w:marTop w:val="0"/>
      <w:marBottom w:val="0"/>
      <w:divBdr>
        <w:top w:val="none" w:sz="0" w:space="0" w:color="auto"/>
        <w:left w:val="none" w:sz="0" w:space="0" w:color="auto"/>
        <w:bottom w:val="none" w:sz="0" w:space="0" w:color="auto"/>
        <w:right w:val="none" w:sz="0" w:space="0" w:color="auto"/>
      </w:divBdr>
    </w:div>
    <w:div w:id="1707294694">
      <w:bodyDiv w:val="1"/>
      <w:marLeft w:val="0"/>
      <w:marRight w:val="0"/>
      <w:marTop w:val="0"/>
      <w:marBottom w:val="0"/>
      <w:divBdr>
        <w:top w:val="none" w:sz="0" w:space="0" w:color="auto"/>
        <w:left w:val="none" w:sz="0" w:space="0" w:color="auto"/>
        <w:bottom w:val="none" w:sz="0" w:space="0" w:color="auto"/>
        <w:right w:val="none" w:sz="0" w:space="0" w:color="auto"/>
      </w:divBdr>
    </w:div>
    <w:div w:id="1734500897">
      <w:bodyDiv w:val="1"/>
      <w:marLeft w:val="0"/>
      <w:marRight w:val="0"/>
      <w:marTop w:val="0"/>
      <w:marBottom w:val="0"/>
      <w:divBdr>
        <w:top w:val="none" w:sz="0" w:space="0" w:color="auto"/>
        <w:left w:val="none" w:sz="0" w:space="0" w:color="auto"/>
        <w:bottom w:val="none" w:sz="0" w:space="0" w:color="auto"/>
        <w:right w:val="none" w:sz="0" w:space="0" w:color="auto"/>
      </w:divBdr>
    </w:div>
    <w:div w:id="1783108017">
      <w:bodyDiv w:val="1"/>
      <w:marLeft w:val="0"/>
      <w:marRight w:val="0"/>
      <w:marTop w:val="0"/>
      <w:marBottom w:val="0"/>
      <w:divBdr>
        <w:top w:val="none" w:sz="0" w:space="0" w:color="auto"/>
        <w:left w:val="none" w:sz="0" w:space="0" w:color="auto"/>
        <w:bottom w:val="none" w:sz="0" w:space="0" w:color="auto"/>
        <w:right w:val="none" w:sz="0" w:space="0" w:color="auto"/>
      </w:divBdr>
    </w:div>
    <w:div w:id="1792094203">
      <w:bodyDiv w:val="1"/>
      <w:marLeft w:val="0"/>
      <w:marRight w:val="0"/>
      <w:marTop w:val="0"/>
      <w:marBottom w:val="0"/>
      <w:divBdr>
        <w:top w:val="none" w:sz="0" w:space="0" w:color="auto"/>
        <w:left w:val="none" w:sz="0" w:space="0" w:color="auto"/>
        <w:bottom w:val="none" w:sz="0" w:space="0" w:color="auto"/>
        <w:right w:val="none" w:sz="0" w:space="0" w:color="auto"/>
      </w:divBdr>
    </w:div>
    <w:div w:id="1795439333">
      <w:bodyDiv w:val="1"/>
      <w:marLeft w:val="0"/>
      <w:marRight w:val="0"/>
      <w:marTop w:val="0"/>
      <w:marBottom w:val="0"/>
      <w:divBdr>
        <w:top w:val="none" w:sz="0" w:space="0" w:color="auto"/>
        <w:left w:val="none" w:sz="0" w:space="0" w:color="auto"/>
        <w:bottom w:val="none" w:sz="0" w:space="0" w:color="auto"/>
        <w:right w:val="none" w:sz="0" w:space="0" w:color="auto"/>
      </w:divBdr>
    </w:div>
    <w:div w:id="1929577659">
      <w:bodyDiv w:val="1"/>
      <w:marLeft w:val="0"/>
      <w:marRight w:val="0"/>
      <w:marTop w:val="0"/>
      <w:marBottom w:val="0"/>
      <w:divBdr>
        <w:top w:val="none" w:sz="0" w:space="0" w:color="auto"/>
        <w:left w:val="none" w:sz="0" w:space="0" w:color="auto"/>
        <w:bottom w:val="none" w:sz="0" w:space="0" w:color="auto"/>
        <w:right w:val="none" w:sz="0" w:space="0" w:color="auto"/>
      </w:divBdr>
    </w:div>
    <w:div w:id="1980838977">
      <w:bodyDiv w:val="1"/>
      <w:marLeft w:val="0"/>
      <w:marRight w:val="0"/>
      <w:marTop w:val="0"/>
      <w:marBottom w:val="0"/>
      <w:divBdr>
        <w:top w:val="none" w:sz="0" w:space="0" w:color="auto"/>
        <w:left w:val="none" w:sz="0" w:space="0" w:color="auto"/>
        <w:bottom w:val="none" w:sz="0" w:space="0" w:color="auto"/>
        <w:right w:val="none" w:sz="0" w:space="0" w:color="auto"/>
      </w:divBdr>
    </w:div>
    <w:div w:id="20510313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20511C-90A3-456F-AEB6-C0FC14345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263</TotalTime>
  <Pages>17</Pages>
  <Words>6329</Words>
  <Characters>36080</Characters>
  <Application>Microsoft Office Word</Application>
  <DocSecurity>0</DocSecurity>
  <Lines>300</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Nguyen Thi Thu An</dc:creator>
  <cp:lastModifiedBy>SonHa</cp:lastModifiedBy>
  <cp:revision>8</cp:revision>
  <cp:lastPrinted>2025-12-30T02:28:00Z</cp:lastPrinted>
  <dcterms:created xsi:type="dcterms:W3CDTF">2026-08-06T11:16:00Z</dcterms:created>
  <dcterms:modified xsi:type="dcterms:W3CDTF">2026-08-24T08:15:00Z</dcterms:modified>
</cp:coreProperties>
</file>