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467" w:type="dxa"/>
        <w:jc w:val="center"/>
        <w:tblLayout w:type="fixed"/>
        <w:tblLook w:val="0000" w:firstRow="0" w:lastRow="0" w:firstColumn="0" w:lastColumn="0" w:noHBand="0" w:noVBand="0"/>
      </w:tblPr>
      <w:tblGrid>
        <w:gridCol w:w="6946"/>
        <w:gridCol w:w="6521"/>
      </w:tblGrid>
      <w:tr w:rsidR="006D06E6" w:rsidRPr="006D06E6" w14:paraId="7648C594" w14:textId="77777777" w:rsidTr="004C1DF7">
        <w:trPr>
          <w:jc w:val="center"/>
        </w:trPr>
        <w:tc>
          <w:tcPr>
            <w:tcW w:w="6946" w:type="dxa"/>
          </w:tcPr>
          <w:p w14:paraId="30DC1175" w14:textId="77777777" w:rsidR="00146F9C" w:rsidRPr="006D06E6" w:rsidRDefault="00146F9C" w:rsidP="00146F9C">
            <w:pPr>
              <w:pStyle w:val="Heading1"/>
              <w:keepNext w:val="0"/>
              <w:widowControl w:val="0"/>
              <w:numPr>
                <w:ilvl w:val="0"/>
                <w:numId w:val="2"/>
              </w:numPr>
              <w:jc w:val="center"/>
              <w:rPr>
                <w:rFonts w:ascii="Times New Roman" w:hAnsi="Times New Roman"/>
                <w:i w:val="0"/>
                <w:color w:val="auto"/>
                <w:sz w:val="28"/>
                <w:szCs w:val="28"/>
              </w:rPr>
            </w:pPr>
            <w:r w:rsidRPr="006D06E6">
              <w:rPr>
                <w:rFonts w:ascii="Times New Roman" w:hAnsi="Times New Roman"/>
                <w:i w:val="0"/>
                <w:color w:val="auto"/>
                <w:sz w:val="28"/>
                <w:szCs w:val="28"/>
              </w:rPr>
              <w:t>ỦY BAN NHÂN DÂN</w:t>
            </w:r>
          </w:p>
          <w:p w14:paraId="0596865B" w14:textId="77777777" w:rsidR="00146F9C" w:rsidRPr="006D06E6" w:rsidRDefault="00146F9C" w:rsidP="00146F9C">
            <w:pPr>
              <w:pStyle w:val="Heading1"/>
              <w:keepNext w:val="0"/>
              <w:widowControl w:val="0"/>
              <w:numPr>
                <w:ilvl w:val="0"/>
                <w:numId w:val="2"/>
              </w:numPr>
              <w:jc w:val="center"/>
              <w:rPr>
                <w:rFonts w:ascii="Times New Roman" w:hAnsi="Times New Roman"/>
                <w:i w:val="0"/>
                <w:color w:val="auto"/>
                <w:sz w:val="28"/>
                <w:szCs w:val="28"/>
              </w:rPr>
            </w:pPr>
            <w:r w:rsidRPr="006D06E6">
              <w:rPr>
                <w:rFonts w:ascii="Times New Roman" w:hAnsi="Times New Roman"/>
                <w:i w:val="0"/>
                <w:color w:val="auto"/>
                <w:sz w:val="28"/>
                <w:szCs w:val="28"/>
              </w:rPr>
              <w:t>THÀNH PHỐ HỒ CHÍ MINH</w:t>
            </w:r>
          </w:p>
          <w:p w14:paraId="7AAD0428" w14:textId="77777777" w:rsidR="00146F9C" w:rsidRPr="006D06E6" w:rsidRDefault="00146F9C" w:rsidP="000B65CD">
            <w:pPr>
              <w:widowControl w:val="0"/>
              <w:spacing w:after="0" w:line="240" w:lineRule="auto"/>
              <w:jc w:val="center"/>
              <w:rPr>
                <w:rFonts w:cs="Times New Roman"/>
                <w:b/>
                <w:szCs w:val="28"/>
                <w:lang w:eastAsia="ar-SA"/>
              </w:rPr>
            </w:pPr>
            <w:r w:rsidRPr="006D06E6">
              <w:rPr>
                <w:rFonts w:eastAsia="Times New Roman" w:cs="Times New Roman"/>
                <w:b/>
                <w:szCs w:val="28"/>
                <w:lang w:eastAsia="ar-SA"/>
              </w:rPr>
              <w:t>SỞ KHOA HỌC VÀ CÔNG NGHỆ</w:t>
            </w:r>
          </w:p>
          <w:p w14:paraId="5A856E16" w14:textId="77777777" w:rsidR="00146F9C" w:rsidRPr="006D06E6" w:rsidRDefault="00B41FCF" w:rsidP="009609BD">
            <w:pPr>
              <w:widowControl w:val="0"/>
              <w:spacing w:after="0" w:line="240" w:lineRule="auto"/>
              <w:jc w:val="center"/>
              <w:rPr>
                <w:rFonts w:cs="Times New Roman"/>
                <w:b/>
                <w:szCs w:val="28"/>
                <w:lang w:eastAsia="ar-SA"/>
              </w:rPr>
            </w:pPr>
            <w:r w:rsidRPr="006D06E6">
              <w:rPr>
                <w:rFonts w:eastAsia="Times New Roman" w:cs="Times New Roman"/>
                <w:b/>
                <w:i/>
                <w:noProof/>
                <w:szCs w:val="28"/>
              </w:rPr>
              <mc:AlternateContent>
                <mc:Choice Requires="wps">
                  <w:drawing>
                    <wp:anchor distT="0" distB="0" distL="114300" distR="114300" simplePos="0" relativeHeight="251661312" behindDoc="0" locked="1" layoutInCell="1" allowOverlap="1" wp14:anchorId="49BF90D5" wp14:editId="552429BF">
                      <wp:simplePos x="0" y="0"/>
                      <wp:positionH relativeFrom="column">
                        <wp:align>center</wp:align>
                      </wp:positionH>
                      <wp:positionV relativeFrom="paragraph">
                        <wp:posOffset>25400</wp:posOffset>
                      </wp:positionV>
                      <wp:extent cx="1080000"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44F801" id="_x0000_t32" coordsize="21600,21600" o:spt="32" o:oned="t" path="m,l21600,21600e" filled="f">
                      <v:path arrowok="t" fillok="f" o:connecttype="none"/>
                      <o:lock v:ext="edit" shapetype="t"/>
                    </v:shapetype>
                    <v:shape id="Straight Arrow Connector 2" o:spid="_x0000_s1026" type="#_x0000_t32" style="position:absolute;margin-left:0;margin-top:2pt;width:85.05pt;height:0;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fzIw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">
                      <w10:anchorlock/>
                    </v:shape>
                  </w:pict>
                </mc:Fallback>
              </mc:AlternateContent>
            </w:r>
          </w:p>
        </w:tc>
        <w:tc>
          <w:tcPr>
            <w:tcW w:w="6521" w:type="dxa"/>
          </w:tcPr>
          <w:p w14:paraId="4BDD3010" w14:textId="77777777" w:rsidR="00146F9C" w:rsidRPr="006D06E6" w:rsidRDefault="00146F9C" w:rsidP="000B65CD">
            <w:pPr>
              <w:pStyle w:val="Heading1"/>
              <w:keepNext w:val="0"/>
              <w:widowControl w:val="0"/>
              <w:jc w:val="center"/>
              <w:rPr>
                <w:rFonts w:ascii="Times New Roman" w:hAnsi="Times New Roman"/>
                <w:b/>
                <w:i w:val="0"/>
                <w:color w:val="auto"/>
                <w:sz w:val="28"/>
                <w:szCs w:val="28"/>
              </w:rPr>
            </w:pPr>
            <w:r w:rsidRPr="006D06E6">
              <w:rPr>
                <w:rFonts w:ascii="Times New Roman" w:hAnsi="Times New Roman"/>
                <w:b/>
                <w:i w:val="0"/>
                <w:color w:val="auto"/>
                <w:sz w:val="28"/>
                <w:szCs w:val="28"/>
              </w:rPr>
              <w:t>CỘNG HÒA XÃ HỘI CHỦ NGHĨA VIỆT NAM</w:t>
            </w:r>
          </w:p>
          <w:p w14:paraId="7F89A921" w14:textId="77777777" w:rsidR="00146F9C" w:rsidRPr="006D06E6" w:rsidRDefault="00146F9C" w:rsidP="000B65CD">
            <w:pPr>
              <w:widowControl w:val="0"/>
              <w:spacing w:after="0" w:line="240" w:lineRule="auto"/>
              <w:jc w:val="center"/>
              <w:rPr>
                <w:rFonts w:cs="Times New Roman"/>
                <w:sz w:val="30"/>
                <w:szCs w:val="30"/>
              </w:rPr>
            </w:pPr>
            <w:r w:rsidRPr="006D06E6">
              <w:rPr>
                <w:rFonts w:eastAsia="Times New Roman" w:cs="Times New Roman"/>
                <w:b/>
                <w:sz w:val="30"/>
                <w:szCs w:val="30"/>
              </w:rPr>
              <w:t>Độc lập - Tự do - Hạnh phúc</w:t>
            </w:r>
          </w:p>
          <w:p w14:paraId="5F2A5697" w14:textId="77777777" w:rsidR="00146F9C" w:rsidRPr="006D06E6" w:rsidRDefault="00146F9C" w:rsidP="000B65CD">
            <w:pPr>
              <w:widowControl w:val="0"/>
              <w:spacing w:after="0" w:line="240" w:lineRule="auto"/>
              <w:jc w:val="center"/>
              <w:rPr>
                <w:rFonts w:cs="Times New Roman"/>
                <w:szCs w:val="28"/>
              </w:rPr>
            </w:pPr>
            <w:r w:rsidRPr="006D06E6">
              <w:rPr>
                <w:rFonts w:eastAsia="Times New Roman" w:cs="Times New Roman"/>
                <w:b/>
                <w:i/>
                <w:noProof/>
                <w:szCs w:val="28"/>
              </w:rPr>
              <mc:AlternateContent>
                <mc:Choice Requires="wps">
                  <w:drawing>
                    <wp:anchor distT="0" distB="0" distL="114300" distR="114300" simplePos="0" relativeHeight="251659264" behindDoc="0" locked="1" layoutInCell="1" allowOverlap="1" wp14:anchorId="67627394" wp14:editId="46F8E3E2">
                      <wp:simplePos x="0" y="0"/>
                      <wp:positionH relativeFrom="column">
                        <wp:align>center</wp:align>
                      </wp:positionH>
                      <wp:positionV relativeFrom="paragraph">
                        <wp:posOffset>31750</wp:posOffset>
                      </wp:positionV>
                      <wp:extent cx="2268000" cy="0"/>
                      <wp:effectExtent l="0" t="0" r="374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E281A" id="Straight Arrow Connector 1" o:spid="_x0000_s1026" type="#_x0000_t32" style="position:absolute;margin-left:0;margin-top:2.5pt;width:178.6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HpKJQIAAEo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">
                      <w10:anchorlock/>
                    </v:shape>
                  </w:pict>
                </mc:Fallback>
              </mc:AlternateContent>
            </w:r>
            <w:r w:rsidRPr="006D06E6">
              <w:rPr>
                <w:rFonts w:eastAsia="Times New Roman" w:cs="Times New Roman"/>
                <w:szCs w:val="28"/>
              </w:rPr>
              <w:t xml:space="preserve"> </w:t>
            </w:r>
          </w:p>
        </w:tc>
      </w:tr>
      <w:tr w:rsidR="006D06E6" w:rsidRPr="006D06E6" w14:paraId="63E03D44" w14:textId="77777777" w:rsidTr="004C1DF7">
        <w:trPr>
          <w:jc w:val="center"/>
        </w:trPr>
        <w:tc>
          <w:tcPr>
            <w:tcW w:w="6946" w:type="dxa"/>
          </w:tcPr>
          <w:p w14:paraId="60D0C017" w14:textId="77777777" w:rsidR="00641A1A" w:rsidRPr="006D06E6" w:rsidRDefault="00641A1A" w:rsidP="00146F9C">
            <w:pPr>
              <w:pStyle w:val="Heading1"/>
              <w:keepNext w:val="0"/>
              <w:widowControl w:val="0"/>
              <w:numPr>
                <w:ilvl w:val="0"/>
                <w:numId w:val="2"/>
              </w:numPr>
              <w:jc w:val="center"/>
              <w:rPr>
                <w:rFonts w:ascii="Times New Roman" w:hAnsi="Times New Roman"/>
                <w:i w:val="0"/>
                <w:color w:val="auto"/>
                <w:sz w:val="28"/>
                <w:szCs w:val="28"/>
              </w:rPr>
            </w:pPr>
          </w:p>
        </w:tc>
        <w:tc>
          <w:tcPr>
            <w:tcW w:w="6521" w:type="dxa"/>
          </w:tcPr>
          <w:p w14:paraId="43661FFA" w14:textId="77777777" w:rsidR="00641A1A" w:rsidRPr="006D06E6" w:rsidRDefault="00641A1A" w:rsidP="00641A1A">
            <w:pPr>
              <w:spacing w:before="80" w:after="200" w:line="240" w:lineRule="auto"/>
              <w:jc w:val="center"/>
              <w:rPr>
                <w:i/>
                <w:szCs w:val="28"/>
              </w:rPr>
            </w:pPr>
            <w:r w:rsidRPr="006D06E6">
              <w:rPr>
                <w:i/>
                <w:szCs w:val="28"/>
              </w:rPr>
              <w:t xml:space="preserve">Thành phố Hồ Chí Minh, ngày </w:t>
            </w:r>
            <w:r w:rsidR="00C075DA" w:rsidRPr="006D06E6">
              <w:rPr>
                <w:i/>
                <w:szCs w:val="28"/>
              </w:rPr>
              <w:t>09</w:t>
            </w:r>
            <w:r w:rsidRPr="006D06E6">
              <w:rPr>
                <w:i/>
                <w:szCs w:val="28"/>
              </w:rPr>
              <w:t xml:space="preserve"> tháng </w:t>
            </w:r>
            <w:r w:rsidR="00C075DA" w:rsidRPr="006D06E6">
              <w:rPr>
                <w:i/>
                <w:szCs w:val="28"/>
              </w:rPr>
              <w:t>9</w:t>
            </w:r>
            <w:r w:rsidRPr="006D06E6">
              <w:rPr>
                <w:i/>
                <w:szCs w:val="28"/>
              </w:rPr>
              <w:t xml:space="preserve"> năm 2026</w:t>
            </w:r>
          </w:p>
          <w:p w14:paraId="3FE589B2" w14:textId="77777777" w:rsidR="00641A1A" w:rsidRPr="006D06E6" w:rsidRDefault="00641A1A" w:rsidP="000B65CD">
            <w:pPr>
              <w:pStyle w:val="Heading1"/>
              <w:keepNext w:val="0"/>
              <w:widowControl w:val="0"/>
              <w:jc w:val="center"/>
              <w:rPr>
                <w:rFonts w:ascii="Times New Roman" w:hAnsi="Times New Roman"/>
                <w:b/>
                <w:i w:val="0"/>
                <w:color w:val="auto"/>
                <w:sz w:val="26"/>
                <w:szCs w:val="26"/>
              </w:rPr>
            </w:pPr>
          </w:p>
        </w:tc>
      </w:tr>
    </w:tbl>
    <w:p w14:paraId="2C9B3E1C" w14:textId="77777777" w:rsidR="00097022" w:rsidRDefault="00B562A6" w:rsidP="004C1DF7">
      <w:pPr>
        <w:spacing w:after="0" w:line="240" w:lineRule="auto"/>
        <w:jc w:val="center"/>
        <w:rPr>
          <w:rFonts w:eastAsia="Times New Roman"/>
          <w:b/>
        </w:rPr>
      </w:pPr>
      <w:r w:rsidRPr="006D06E6">
        <w:rPr>
          <w:rFonts w:eastAsia="Times New Roman"/>
          <w:b/>
        </w:rPr>
        <w:t>BẢN TỔNG HỢP Ý KIẾN, TIẾP THU, GIẢI TRÌNH Ý KIẾN GÓP Ý, PHẢN BIỆN XÃ HỘI</w:t>
      </w:r>
      <w:r w:rsidR="004C1DF7" w:rsidRPr="006D06E6">
        <w:rPr>
          <w:rFonts w:eastAsia="Times New Roman"/>
          <w:b/>
        </w:rPr>
        <w:t xml:space="preserve"> </w:t>
      </w:r>
      <w:r w:rsidRPr="006D06E6">
        <w:rPr>
          <w:rFonts w:eastAsia="Times New Roman"/>
          <w:b/>
        </w:rPr>
        <w:t xml:space="preserve">ĐỐI VỚI DỰ THẢO NGHỊ QUYẾT QUY ĐỊNH LĨNH VỰC, TIÊU CHÍ, ĐIỀU KIỆN, TRÌNH TỰ, THỦ TỤC, NỘI DUNG VÀ MỨC HỖ TRỢ KHÔNG HOÀN LẠI TỪ NGÂN SÁCH THÀNH PHỐ CHO CHI PHÍ ƯƠM TẠO DỰ ÁN KHỞI NGHIỆP </w:t>
      </w:r>
    </w:p>
    <w:p w14:paraId="5AAA7AEF" w14:textId="77777777" w:rsidR="00D5207D" w:rsidRPr="006D06E6" w:rsidRDefault="00B562A6" w:rsidP="004C1DF7">
      <w:pPr>
        <w:spacing w:after="0" w:line="240" w:lineRule="auto"/>
        <w:jc w:val="center"/>
      </w:pPr>
      <w:r w:rsidRPr="006D06E6">
        <w:rPr>
          <w:rFonts w:eastAsia="Times New Roman"/>
          <w:b/>
        </w:rPr>
        <w:t>SÁNG TẠO TRÊN ĐỊA BÀN THÀNH PHỐ HỒ CHÍ MINH</w:t>
      </w:r>
    </w:p>
    <w:p w14:paraId="593AF698" w14:textId="77777777" w:rsidR="00B562A6" w:rsidRPr="006D06E6" w:rsidRDefault="00B562A6">
      <w:pPr>
        <w:spacing w:after="40" w:line="240" w:lineRule="auto"/>
        <w:jc w:val="center"/>
      </w:pPr>
      <w:r w:rsidRPr="006D06E6">
        <w:rPr>
          <w:noProof/>
        </w:rPr>
        <mc:AlternateContent>
          <mc:Choice Requires="wps">
            <w:drawing>
              <wp:anchor distT="0" distB="0" distL="114300" distR="114300" simplePos="0" relativeHeight="251662336" behindDoc="0" locked="0" layoutInCell="1" allowOverlap="1" wp14:anchorId="554B3D40" wp14:editId="4279AC86">
                <wp:simplePos x="0" y="0"/>
                <wp:positionH relativeFrom="column">
                  <wp:posOffset>3196590</wp:posOffset>
                </wp:positionH>
                <wp:positionV relativeFrom="paragraph">
                  <wp:posOffset>57052</wp:posOffset>
                </wp:positionV>
                <wp:extent cx="2833200"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833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67A71D"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7pt,4.5pt" to="474.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" strokecolor="#5b9bd5 [3204]" strokeweight=".5pt">
                <v:stroke joinstyle="miter"/>
              </v:line>
            </w:pict>
          </mc:Fallback>
        </mc:AlternateContent>
      </w:r>
    </w:p>
    <w:p w14:paraId="461301E8" w14:textId="77777777" w:rsidR="00D5207D" w:rsidRPr="006D06E6" w:rsidRDefault="00B562A6" w:rsidP="009F5388">
      <w:pPr>
        <w:spacing w:before="120" w:after="120" w:line="240" w:lineRule="auto"/>
        <w:ind w:firstLine="567"/>
        <w:jc w:val="both"/>
        <w:rPr>
          <w:szCs w:val="28"/>
        </w:rPr>
      </w:pPr>
      <w:r w:rsidRPr="006D06E6">
        <w:t>Căn cứ Luật Ban hành văn bản quy phạm pháp luật, Sở Khoa học và Công nghệ đã tổ chức lấy ý kiến, tham vấn và phản biện xã hội đối với hồ sơ dự thảo Nghị quyết quy định lĩnh vực, tiêu chí, điều kiện, trình tự, thủ tục, nội dung và mức hỗ trợ không hoàn lại từ ngân sách Thành phố cho chi phí ươm tạo dự án khởi nghiệp sáng tạo trên địa bàn Thành phố Hồ Chí Minh.</w:t>
      </w:r>
    </w:p>
    <w:p w14:paraId="623CEF34" w14:textId="77777777" w:rsidR="00D5207D" w:rsidRPr="006D06E6" w:rsidRDefault="00B562A6" w:rsidP="009F5388">
      <w:pPr>
        <w:spacing w:before="120" w:after="120" w:line="240" w:lineRule="auto"/>
        <w:ind w:firstLine="567"/>
        <w:jc w:val="both"/>
        <w:rPr>
          <w:szCs w:val="28"/>
        </w:rPr>
      </w:pPr>
      <w:r w:rsidRPr="006D06E6">
        <w:rPr>
          <w:rFonts w:eastAsia="Times New Roman"/>
          <w:szCs w:val="28"/>
        </w:rPr>
        <w:t>Trên cơ sở ý kiến của các cơ quan, đơn vị, tổ chức, cá nhân và các phòng, đơn vị trực thuộc, Sở Khoa học và Công nghệ tiếp thu, giải trình như sau:</w:t>
      </w:r>
    </w:p>
    <w:p w14:paraId="56B19A7F" w14:textId="77777777" w:rsidR="00EE7544" w:rsidRPr="006D06E6" w:rsidRDefault="001973FD" w:rsidP="009F5388">
      <w:pPr>
        <w:spacing w:before="120" w:after="120" w:line="240" w:lineRule="auto"/>
        <w:ind w:firstLine="567"/>
        <w:jc w:val="both"/>
      </w:pPr>
      <w:r w:rsidRPr="006D06E6">
        <w:t>Theo Điều 8 và Điều 9 Nghị quyết số 39/2026/NQ-HĐND, kết quả tham vấn chính sách được tổng hợp tại Văn bản tổng hợp kết quả tham vấn chính sách riêng; Bản này tập trung tổng hợp, tiếp thu, giải trình ý kiến góp ý, phản biện xã hội và các ý kiến liên quan đối với hồ sơ dự thảo.</w:t>
      </w:r>
    </w:p>
    <w:p w14:paraId="7680D698" w14:textId="77777777" w:rsidR="00D5207D" w:rsidRPr="006D06E6" w:rsidRDefault="00B562A6" w:rsidP="00B562A6">
      <w:pPr>
        <w:keepNext/>
        <w:spacing w:before="120" w:after="120" w:line="240" w:lineRule="auto"/>
        <w:rPr>
          <w:szCs w:val="28"/>
        </w:rPr>
      </w:pPr>
      <w:r w:rsidRPr="006D06E6">
        <w:rPr>
          <w:rFonts w:eastAsia="Times New Roman"/>
          <w:b/>
          <w:szCs w:val="28"/>
        </w:rPr>
        <w:t>A. Ý KIẾN CỦA CÁC BAN HỘI ĐỒNG NHÂN DÂN THÀNH PHỐ</w:t>
      </w:r>
    </w:p>
    <w:tbl>
      <w:tblPr>
        <w:tblStyle w:val="TableGrid"/>
        <w:tblW w:w="15593" w:type="dxa"/>
        <w:tblInd w:w="-714" w:type="dxa"/>
        <w:tblLayout w:type="fixed"/>
        <w:tblLook w:val="04A0" w:firstRow="1" w:lastRow="0" w:firstColumn="1" w:lastColumn="0" w:noHBand="0" w:noVBand="1"/>
      </w:tblPr>
      <w:tblGrid>
        <w:gridCol w:w="1900"/>
        <w:gridCol w:w="2550"/>
        <w:gridCol w:w="5350"/>
        <w:gridCol w:w="5793"/>
      </w:tblGrid>
      <w:tr w:rsidR="006D06E6" w:rsidRPr="006D06E6" w14:paraId="257F4161" w14:textId="77777777" w:rsidTr="00B562A6">
        <w:trPr>
          <w:tblHeader/>
        </w:trPr>
        <w:tc>
          <w:tcPr>
            <w:tcW w:w="1900" w:type="dxa"/>
            <w:tcMar>
              <w:top w:w="55" w:type="dxa"/>
              <w:left w:w="70" w:type="dxa"/>
              <w:bottom w:w="55" w:type="dxa"/>
              <w:right w:w="70" w:type="dxa"/>
            </w:tcMar>
            <w:vAlign w:val="center"/>
          </w:tcPr>
          <w:p w14:paraId="47B58AF7" w14:textId="77777777" w:rsidR="00D5207D" w:rsidRPr="006D06E6" w:rsidRDefault="00B562A6">
            <w:pPr>
              <w:jc w:val="center"/>
            </w:pPr>
            <w:r w:rsidRPr="006D06E6">
              <w:rPr>
                <w:rFonts w:eastAsia="Times New Roman"/>
                <w:b/>
                <w:sz w:val="24"/>
              </w:rPr>
              <w:t>NHÓM VẤN ĐỀ</w:t>
            </w:r>
            <w:r w:rsidRPr="006D06E6">
              <w:rPr>
                <w:rFonts w:eastAsia="Times New Roman"/>
                <w:b/>
                <w:sz w:val="24"/>
              </w:rPr>
              <w:br/>
              <w:t>HOẶC ĐIỀU, KHOẢN</w:t>
            </w:r>
          </w:p>
        </w:tc>
        <w:tc>
          <w:tcPr>
            <w:tcW w:w="2550" w:type="dxa"/>
            <w:tcMar>
              <w:top w:w="55" w:type="dxa"/>
              <w:left w:w="70" w:type="dxa"/>
              <w:bottom w:w="55" w:type="dxa"/>
              <w:right w:w="70" w:type="dxa"/>
            </w:tcMar>
            <w:vAlign w:val="center"/>
          </w:tcPr>
          <w:p w14:paraId="1AA1086A" w14:textId="77777777" w:rsidR="00D5207D" w:rsidRPr="006D06E6" w:rsidRDefault="00B562A6">
            <w:pPr>
              <w:jc w:val="center"/>
            </w:pPr>
            <w:r w:rsidRPr="006D06E6">
              <w:rPr>
                <w:rFonts w:eastAsia="Times New Roman"/>
                <w:b/>
                <w:sz w:val="24"/>
              </w:rPr>
              <w:t>CHỦ THỂ GÓP Ý</w:t>
            </w:r>
          </w:p>
        </w:tc>
        <w:tc>
          <w:tcPr>
            <w:tcW w:w="5350" w:type="dxa"/>
            <w:tcMar>
              <w:top w:w="55" w:type="dxa"/>
              <w:left w:w="70" w:type="dxa"/>
              <w:bottom w:w="55" w:type="dxa"/>
              <w:right w:w="70" w:type="dxa"/>
            </w:tcMar>
            <w:vAlign w:val="center"/>
          </w:tcPr>
          <w:p w14:paraId="2ECC8674" w14:textId="77777777" w:rsidR="00D5207D" w:rsidRPr="006D06E6" w:rsidRDefault="00B562A6">
            <w:pPr>
              <w:jc w:val="center"/>
            </w:pPr>
            <w:r w:rsidRPr="006D06E6">
              <w:rPr>
                <w:rFonts w:eastAsia="Times New Roman"/>
                <w:b/>
                <w:sz w:val="24"/>
              </w:rPr>
              <w:t>NỘI DUNG GÓP Ý</w:t>
            </w:r>
          </w:p>
        </w:tc>
        <w:tc>
          <w:tcPr>
            <w:tcW w:w="5793" w:type="dxa"/>
            <w:tcMar>
              <w:top w:w="55" w:type="dxa"/>
              <w:left w:w="70" w:type="dxa"/>
              <w:bottom w:w="55" w:type="dxa"/>
              <w:right w:w="70" w:type="dxa"/>
            </w:tcMar>
            <w:vAlign w:val="center"/>
          </w:tcPr>
          <w:p w14:paraId="774ECF9A" w14:textId="77777777" w:rsidR="00D5207D" w:rsidRPr="006D06E6" w:rsidRDefault="00B562A6" w:rsidP="00B22554">
            <w:pPr>
              <w:jc w:val="center"/>
            </w:pPr>
            <w:r w:rsidRPr="006D06E6">
              <w:rPr>
                <w:rFonts w:eastAsia="Times New Roman"/>
                <w:b/>
                <w:sz w:val="24"/>
              </w:rPr>
              <w:t>NỘI DUNG TIẾP THU,</w:t>
            </w:r>
            <w:r w:rsidR="00B22554" w:rsidRPr="006D06E6">
              <w:rPr>
                <w:rFonts w:eastAsia="Times New Roman"/>
                <w:b/>
                <w:sz w:val="24"/>
              </w:rPr>
              <w:t xml:space="preserve"> </w:t>
            </w:r>
            <w:r w:rsidRPr="006D06E6">
              <w:rPr>
                <w:rFonts w:eastAsia="Times New Roman"/>
                <w:b/>
                <w:sz w:val="24"/>
              </w:rPr>
              <w:t>GIẢI TRÌNH</w:t>
            </w:r>
          </w:p>
        </w:tc>
      </w:tr>
      <w:tr w:rsidR="006D06E6" w:rsidRPr="006D06E6" w14:paraId="667C5DDE" w14:textId="77777777" w:rsidTr="00B562A6">
        <w:tc>
          <w:tcPr>
            <w:tcW w:w="15593" w:type="dxa"/>
            <w:gridSpan w:val="4"/>
            <w:tcMar>
              <w:top w:w="55" w:type="dxa"/>
              <w:left w:w="70" w:type="dxa"/>
              <w:bottom w:w="55" w:type="dxa"/>
              <w:right w:w="70" w:type="dxa"/>
            </w:tcMar>
            <w:vAlign w:val="center"/>
          </w:tcPr>
          <w:p w14:paraId="1DFBF896" w14:textId="77777777" w:rsidR="00D5207D" w:rsidRPr="006D06E6" w:rsidRDefault="00B562A6">
            <w:pPr>
              <w:jc w:val="center"/>
            </w:pPr>
            <w:r w:rsidRPr="006D06E6">
              <w:rPr>
                <w:rFonts w:eastAsia="Times New Roman"/>
                <w:sz w:val="24"/>
              </w:rPr>
              <w:t>Hồ sơ hiện chưa có ý kiến thuộc nhóm này để tổng hợp.</w:t>
            </w:r>
          </w:p>
        </w:tc>
      </w:tr>
    </w:tbl>
    <w:p w14:paraId="4C2A0383" w14:textId="77777777" w:rsidR="00D5207D" w:rsidRPr="006D06E6" w:rsidRDefault="00B562A6" w:rsidP="00B562A6">
      <w:pPr>
        <w:keepNext/>
        <w:spacing w:before="120" w:after="120" w:line="240" w:lineRule="auto"/>
        <w:rPr>
          <w:szCs w:val="28"/>
        </w:rPr>
      </w:pPr>
      <w:r w:rsidRPr="006D06E6">
        <w:rPr>
          <w:rFonts w:eastAsia="Times New Roman"/>
          <w:b/>
          <w:szCs w:val="28"/>
        </w:rPr>
        <w:t>B. Ý KIẾN CỦA CÁC TRƯỜNG ĐẠI HỌC</w:t>
      </w:r>
    </w:p>
    <w:p w14:paraId="02D587B8" w14:textId="77777777" w:rsidR="00D5207D" w:rsidRPr="006D06E6" w:rsidRDefault="00B562A6" w:rsidP="00B562A6">
      <w:pPr>
        <w:spacing w:before="120" w:after="120" w:line="240" w:lineRule="auto"/>
        <w:jc w:val="both"/>
        <w:rPr>
          <w:szCs w:val="28"/>
        </w:rPr>
      </w:pPr>
      <w:r w:rsidRPr="006D06E6">
        <w:rPr>
          <w:rFonts w:eastAsia="Times New Roman"/>
          <w:b/>
          <w:szCs w:val="28"/>
        </w:rPr>
        <w:t xml:space="preserve">I. </w:t>
      </w:r>
      <w:r w:rsidRPr="006D06E6">
        <w:rPr>
          <w:rFonts w:eastAsia="Times New Roman"/>
          <w:szCs w:val="28"/>
        </w:rPr>
        <w:t>Số trường đại học có ý kiến được tổng hợp: 01.</w:t>
      </w:r>
    </w:p>
    <w:p w14:paraId="54C44A20" w14:textId="77777777" w:rsidR="00D5207D" w:rsidRPr="006D06E6" w:rsidRDefault="00B562A6" w:rsidP="00B562A6">
      <w:pPr>
        <w:spacing w:before="120" w:after="120" w:line="240" w:lineRule="auto"/>
        <w:jc w:val="both"/>
        <w:rPr>
          <w:rFonts w:eastAsia="Times New Roman"/>
          <w:szCs w:val="28"/>
        </w:rPr>
      </w:pPr>
      <w:r w:rsidRPr="006D06E6">
        <w:rPr>
          <w:rFonts w:eastAsia="Times New Roman"/>
          <w:b/>
          <w:szCs w:val="28"/>
        </w:rPr>
        <w:lastRenderedPageBreak/>
        <w:t xml:space="preserve">II. </w:t>
      </w:r>
      <w:r w:rsidRPr="006D06E6">
        <w:rPr>
          <w:rFonts w:eastAsia="Times New Roman"/>
          <w:szCs w:val="28"/>
        </w:rPr>
        <w:t>Kết quả cụ thể như sau:</w:t>
      </w:r>
    </w:p>
    <w:tbl>
      <w:tblPr>
        <w:tblStyle w:val="TableGrid"/>
        <w:tblW w:w="15309" w:type="dxa"/>
        <w:tblInd w:w="-572" w:type="dxa"/>
        <w:tblLook w:val="04A0" w:firstRow="1" w:lastRow="0" w:firstColumn="1" w:lastColumn="0" w:noHBand="0" w:noVBand="1"/>
      </w:tblPr>
      <w:tblGrid>
        <w:gridCol w:w="1843"/>
        <w:gridCol w:w="1701"/>
        <w:gridCol w:w="5811"/>
        <w:gridCol w:w="5954"/>
      </w:tblGrid>
      <w:tr w:rsidR="006D06E6" w:rsidRPr="006D06E6" w14:paraId="68BA8D26" w14:textId="77777777" w:rsidTr="00B562A6">
        <w:trPr>
          <w:tblHeader/>
        </w:trPr>
        <w:tc>
          <w:tcPr>
            <w:tcW w:w="1843" w:type="dxa"/>
            <w:vAlign w:val="center"/>
          </w:tcPr>
          <w:p w14:paraId="095C94E2" w14:textId="77777777" w:rsidR="00B562A6" w:rsidRPr="006D06E6" w:rsidRDefault="00B562A6" w:rsidP="00B562A6">
            <w:pPr>
              <w:jc w:val="center"/>
              <w:rPr>
                <w:rFonts w:cs="Times New Roman"/>
                <w:sz w:val="24"/>
                <w:szCs w:val="24"/>
              </w:rPr>
            </w:pPr>
            <w:r w:rsidRPr="006D06E6">
              <w:rPr>
                <w:rFonts w:eastAsia="Times New Roman" w:cs="Times New Roman"/>
                <w:b/>
                <w:sz w:val="24"/>
                <w:szCs w:val="24"/>
              </w:rPr>
              <w:t>NHÓM VẤN ĐỀ</w:t>
            </w:r>
            <w:r w:rsidRPr="006D06E6">
              <w:rPr>
                <w:rFonts w:eastAsia="Times New Roman" w:cs="Times New Roman"/>
                <w:b/>
                <w:sz w:val="24"/>
                <w:szCs w:val="24"/>
              </w:rPr>
              <w:br/>
              <w:t>HOẶC ĐIỀU, KHOẢN</w:t>
            </w:r>
          </w:p>
        </w:tc>
        <w:tc>
          <w:tcPr>
            <w:tcW w:w="1701" w:type="dxa"/>
            <w:vAlign w:val="center"/>
          </w:tcPr>
          <w:p w14:paraId="3FC851C2" w14:textId="77777777" w:rsidR="00B562A6" w:rsidRPr="006D06E6" w:rsidRDefault="00B562A6" w:rsidP="00B562A6">
            <w:pPr>
              <w:jc w:val="center"/>
              <w:rPr>
                <w:rFonts w:cs="Times New Roman"/>
                <w:sz w:val="24"/>
                <w:szCs w:val="24"/>
              </w:rPr>
            </w:pPr>
            <w:r w:rsidRPr="006D06E6">
              <w:rPr>
                <w:rFonts w:eastAsia="Times New Roman" w:cs="Times New Roman"/>
                <w:b/>
                <w:sz w:val="24"/>
                <w:szCs w:val="24"/>
              </w:rPr>
              <w:t>CHỦ THỂ GÓP Ý</w:t>
            </w:r>
          </w:p>
        </w:tc>
        <w:tc>
          <w:tcPr>
            <w:tcW w:w="5811" w:type="dxa"/>
            <w:vAlign w:val="center"/>
          </w:tcPr>
          <w:p w14:paraId="02F5470A" w14:textId="77777777" w:rsidR="00B562A6" w:rsidRPr="006D06E6" w:rsidRDefault="00B562A6" w:rsidP="00B562A6">
            <w:pPr>
              <w:jc w:val="center"/>
              <w:rPr>
                <w:rFonts w:cs="Times New Roman"/>
                <w:sz w:val="24"/>
                <w:szCs w:val="24"/>
              </w:rPr>
            </w:pPr>
            <w:r w:rsidRPr="006D06E6">
              <w:rPr>
                <w:rFonts w:eastAsia="Times New Roman" w:cs="Times New Roman"/>
                <w:b/>
                <w:sz w:val="24"/>
                <w:szCs w:val="24"/>
              </w:rPr>
              <w:t>NỘI DUNG GÓP Ý</w:t>
            </w:r>
          </w:p>
        </w:tc>
        <w:tc>
          <w:tcPr>
            <w:tcW w:w="5954" w:type="dxa"/>
            <w:vAlign w:val="center"/>
          </w:tcPr>
          <w:p w14:paraId="16B2E9A8" w14:textId="77777777" w:rsidR="00B562A6" w:rsidRPr="006D06E6" w:rsidRDefault="00B562A6" w:rsidP="00B22554">
            <w:pPr>
              <w:jc w:val="center"/>
              <w:rPr>
                <w:rFonts w:cs="Times New Roman"/>
                <w:sz w:val="24"/>
                <w:szCs w:val="24"/>
              </w:rPr>
            </w:pPr>
            <w:r w:rsidRPr="006D06E6">
              <w:rPr>
                <w:rFonts w:eastAsia="Times New Roman" w:cs="Times New Roman"/>
                <w:b/>
                <w:sz w:val="24"/>
                <w:szCs w:val="24"/>
              </w:rPr>
              <w:t>NỘI DUNG TIẾP THU,</w:t>
            </w:r>
            <w:r w:rsidR="00B22554" w:rsidRPr="006D06E6">
              <w:rPr>
                <w:rFonts w:eastAsia="Times New Roman" w:cs="Times New Roman"/>
                <w:b/>
                <w:sz w:val="24"/>
                <w:szCs w:val="24"/>
              </w:rPr>
              <w:t xml:space="preserve"> </w:t>
            </w:r>
            <w:r w:rsidRPr="006D06E6">
              <w:rPr>
                <w:rFonts w:eastAsia="Times New Roman" w:cs="Times New Roman"/>
                <w:b/>
                <w:sz w:val="24"/>
                <w:szCs w:val="24"/>
              </w:rPr>
              <w:t>GIẢI TRÌNH</w:t>
            </w:r>
          </w:p>
        </w:tc>
      </w:tr>
      <w:tr w:rsidR="006D06E6" w:rsidRPr="006D06E6" w14:paraId="5811F518" w14:textId="77777777" w:rsidTr="00B562A6">
        <w:tc>
          <w:tcPr>
            <w:tcW w:w="1843" w:type="dxa"/>
          </w:tcPr>
          <w:p w14:paraId="57C5E7B6" w14:textId="77777777" w:rsidR="004E56B4" w:rsidRPr="006D06E6" w:rsidRDefault="004E56B4">
            <w:pPr>
              <w:jc w:val="both"/>
              <w:rPr>
                <w:rFonts w:cs="Times New Roman"/>
                <w:sz w:val="24"/>
                <w:szCs w:val="24"/>
              </w:rPr>
            </w:pPr>
          </w:p>
        </w:tc>
        <w:tc>
          <w:tcPr>
            <w:tcW w:w="1701" w:type="dxa"/>
          </w:tcPr>
          <w:p w14:paraId="5E570316" w14:textId="77777777" w:rsidR="00B562A6" w:rsidRPr="006D06E6" w:rsidRDefault="002B32BB" w:rsidP="00B562A6">
            <w:pPr>
              <w:jc w:val="center"/>
              <w:rPr>
                <w:rFonts w:cs="Times New Roman"/>
                <w:sz w:val="24"/>
                <w:szCs w:val="24"/>
              </w:rPr>
            </w:pPr>
            <w:r w:rsidRPr="006D06E6">
              <w:rPr>
                <w:rFonts w:cs="Times New Roman"/>
                <w:sz w:val="24"/>
                <w:szCs w:val="24"/>
              </w:rPr>
              <w:t>Trường Đại học Quốc tế, ĐHQG-HCM</w:t>
            </w:r>
          </w:p>
        </w:tc>
        <w:tc>
          <w:tcPr>
            <w:tcW w:w="5811" w:type="dxa"/>
          </w:tcPr>
          <w:p w14:paraId="4B1E5841" w14:textId="77777777" w:rsidR="00B562A6" w:rsidRPr="006D06E6" w:rsidRDefault="002B32BB" w:rsidP="00B562A6">
            <w:pPr>
              <w:jc w:val="both"/>
              <w:rPr>
                <w:rFonts w:cs="Times New Roman"/>
                <w:sz w:val="24"/>
                <w:szCs w:val="24"/>
              </w:rPr>
            </w:pPr>
            <w:r w:rsidRPr="006D06E6">
              <w:rPr>
                <w:rFonts w:cs="Times New Roman"/>
                <w:sz w:val="24"/>
                <w:szCs w:val="24"/>
              </w:rPr>
              <w:t>Không có ý kiến</w:t>
            </w:r>
          </w:p>
        </w:tc>
        <w:tc>
          <w:tcPr>
            <w:tcW w:w="5954" w:type="dxa"/>
          </w:tcPr>
          <w:p w14:paraId="662C99B7" w14:textId="77777777" w:rsidR="00B562A6" w:rsidRPr="006D06E6" w:rsidRDefault="00B562A6" w:rsidP="00B562A6">
            <w:pPr>
              <w:jc w:val="both"/>
              <w:rPr>
                <w:rFonts w:eastAsia="Times New Roman" w:cs="Times New Roman"/>
                <w:sz w:val="24"/>
                <w:szCs w:val="24"/>
              </w:rPr>
            </w:pPr>
          </w:p>
        </w:tc>
      </w:tr>
      <w:tr w:rsidR="006D06E6" w:rsidRPr="006D06E6" w14:paraId="301A1FBC" w14:textId="77777777" w:rsidTr="00B562A6">
        <w:tc>
          <w:tcPr>
            <w:tcW w:w="1843" w:type="dxa"/>
          </w:tcPr>
          <w:p w14:paraId="43F47DF9" w14:textId="77777777" w:rsidR="004E56B4" w:rsidRPr="006D06E6" w:rsidRDefault="004E56B4">
            <w:pPr>
              <w:jc w:val="both"/>
              <w:rPr>
                <w:rFonts w:cs="Times New Roman"/>
                <w:sz w:val="24"/>
                <w:szCs w:val="24"/>
              </w:rPr>
            </w:pPr>
          </w:p>
        </w:tc>
        <w:tc>
          <w:tcPr>
            <w:tcW w:w="1701" w:type="dxa"/>
          </w:tcPr>
          <w:p w14:paraId="159194A6" w14:textId="77777777" w:rsidR="004E56B4" w:rsidRPr="006D06E6" w:rsidRDefault="004E56B4">
            <w:pPr>
              <w:rPr>
                <w:rFonts w:cs="Times New Roman"/>
                <w:sz w:val="24"/>
                <w:szCs w:val="24"/>
              </w:rPr>
            </w:pPr>
          </w:p>
        </w:tc>
        <w:tc>
          <w:tcPr>
            <w:tcW w:w="5811" w:type="dxa"/>
          </w:tcPr>
          <w:p w14:paraId="0D0059F5" w14:textId="77777777" w:rsidR="00B562A6" w:rsidRPr="006D06E6" w:rsidRDefault="00B562A6" w:rsidP="00B562A6">
            <w:pPr>
              <w:jc w:val="both"/>
              <w:rPr>
                <w:rFonts w:cs="Times New Roman"/>
                <w:sz w:val="24"/>
                <w:szCs w:val="24"/>
              </w:rPr>
            </w:pPr>
          </w:p>
        </w:tc>
        <w:tc>
          <w:tcPr>
            <w:tcW w:w="5954" w:type="dxa"/>
          </w:tcPr>
          <w:p w14:paraId="6187C193" w14:textId="77777777" w:rsidR="00B562A6" w:rsidRPr="006D06E6" w:rsidRDefault="00B562A6" w:rsidP="00B562A6">
            <w:pPr>
              <w:jc w:val="both"/>
              <w:rPr>
                <w:rFonts w:eastAsia="Times New Roman" w:cs="Times New Roman"/>
                <w:sz w:val="24"/>
                <w:szCs w:val="24"/>
              </w:rPr>
            </w:pPr>
          </w:p>
        </w:tc>
      </w:tr>
    </w:tbl>
    <w:p w14:paraId="75404862" w14:textId="77777777" w:rsidR="00D5207D" w:rsidRPr="006D06E6" w:rsidRDefault="00B562A6" w:rsidP="00F103F3">
      <w:pPr>
        <w:keepNext/>
        <w:spacing w:before="120" w:after="120" w:line="240" w:lineRule="auto"/>
        <w:ind w:firstLine="567"/>
        <w:rPr>
          <w:szCs w:val="28"/>
        </w:rPr>
      </w:pPr>
      <w:r w:rsidRPr="006D06E6">
        <w:rPr>
          <w:rFonts w:eastAsia="Times New Roman"/>
          <w:b/>
          <w:szCs w:val="28"/>
        </w:rPr>
        <w:t>C. Ý KIẾN CỦA CÁC CƠ QUAN, ĐƠN VỊ</w:t>
      </w:r>
      <w:r w:rsidR="00E104AB" w:rsidRPr="006D06E6">
        <w:rPr>
          <w:rFonts w:eastAsia="Times New Roman"/>
          <w:b/>
          <w:szCs w:val="28"/>
        </w:rPr>
        <w:t>.</w:t>
      </w:r>
    </w:p>
    <w:p w14:paraId="3E25D6AE" w14:textId="77777777" w:rsidR="00D5207D" w:rsidRPr="006D06E6" w:rsidRDefault="00B562A6" w:rsidP="00F103F3">
      <w:pPr>
        <w:spacing w:before="120" w:after="120" w:line="240" w:lineRule="auto"/>
        <w:ind w:firstLine="567"/>
        <w:jc w:val="both"/>
        <w:rPr>
          <w:szCs w:val="28"/>
        </w:rPr>
      </w:pPr>
      <w:r w:rsidRPr="006D06E6">
        <w:rPr>
          <w:rFonts w:eastAsia="Times New Roman"/>
          <w:b/>
          <w:szCs w:val="28"/>
        </w:rPr>
        <w:t xml:space="preserve">I. </w:t>
      </w:r>
      <w:r w:rsidRPr="006D06E6">
        <w:rPr>
          <w:rFonts w:eastAsia="Times New Roman"/>
          <w:szCs w:val="28"/>
        </w:rPr>
        <w:t>Tổng số cơ quan, tổ chức, cá nhân được gửi lấy ý kiến: 29.</w:t>
      </w:r>
    </w:p>
    <w:p w14:paraId="4CA9AD72" w14:textId="77777777" w:rsidR="00D5207D" w:rsidRPr="006D06E6" w:rsidRDefault="00884AFC" w:rsidP="00F103F3">
      <w:pPr>
        <w:spacing w:before="120" w:after="120" w:line="240" w:lineRule="auto"/>
        <w:ind w:firstLine="567"/>
        <w:jc w:val="both"/>
        <w:rPr>
          <w:szCs w:val="28"/>
        </w:rPr>
      </w:pPr>
      <w:r w:rsidRPr="006D06E6">
        <w:rPr>
          <w:szCs w:val="28"/>
        </w:rPr>
        <w:t>Tính đến ngày 09 tháng 9 năm 2026, các văn bản và ý kiến phản hồi của các cơ quan, đơn vị được Sở Khoa học và Công nghệ tổng hợp, tiếp thu, giải trình tại Bảng này; trong đó ghi nhận riêng các trường hợp không có ý kiến bổ sung tại lần lấy ý kiến thứ hai.</w:t>
      </w:r>
    </w:p>
    <w:p w14:paraId="246FDF42" w14:textId="77777777" w:rsidR="00D5207D" w:rsidRPr="006D06E6" w:rsidRDefault="00B562A6" w:rsidP="00F103F3">
      <w:pPr>
        <w:spacing w:before="120" w:after="120" w:line="240" w:lineRule="auto"/>
        <w:ind w:firstLine="567"/>
        <w:jc w:val="both"/>
        <w:rPr>
          <w:szCs w:val="28"/>
        </w:rPr>
      </w:pPr>
      <w:r w:rsidRPr="006D06E6">
        <w:rPr>
          <w:rFonts w:eastAsia="Times New Roman"/>
          <w:b/>
          <w:szCs w:val="28"/>
        </w:rPr>
        <w:t xml:space="preserve">II. </w:t>
      </w:r>
      <w:r w:rsidRPr="006D06E6">
        <w:rPr>
          <w:rFonts w:eastAsia="Times New Roman"/>
          <w:szCs w:val="28"/>
        </w:rPr>
        <w:t>Kết quả cụ thể như sau:</w:t>
      </w:r>
    </w:p>
    <w:tbl>
      <w:tblPr>
        <w:tblStyle w:val="TableGrid"/>
        <w:tblW w:w="15309" w:type="dxa"/>
        <w:tblInd w:w="-572" w:type="dxa"/>
        <w:tblLayout w:type="fixed"/>
        <w:tblLook w:val="04A0" w:firstRow="1" w:lastRow="0" w:firstColumn="1" w:lastColumn="0" w:noHBand="0" w:noVBand="1"/>
      </w:tblPr>
      <w:tblGrid>
        <w:gridCol w:w="1900"/>
        <w:gridCol w:w="1644"/>
        <w:gridCol w:w="5812"/>
        <w:gridCol w:w="5953"/>
      </w:tblGrid>
      <w:tr w:rsidR="006D06E6" w:rsidRPr="006D06E6" w14:paraId="1FB8519C" w14:textId="77777777" w:rsidTr="00B562A6">
        <w:trPr>
          <w:tblHeader/>
        </w:trPr>
        <w:tc>
          <w:tcPr>
            <w:tcW w:w="1900" w:type="dxa"/>
            <w:tcMar>
              <w:top w:w="55" w:type="dxa"/>
              <w:left w:w="70" w:type="dxa"/>
              <w:bottom w:w="55" w:type="dxa"/>
              <w:right w:w="70" w:type="dxa"/>
            </w:tcMar>
            <w:vAlign w:val="center"/>
          </w:tcPr>
          <w:p w14:paraId="72D4AF94" w14:textId="77777777" w:rsidR="00D5207D" w:rsidRPr="006D06E6" w:rsidRDefault="00B562A6">
            <w:pPr>
              <w:jc w:val="center"/>
              <w:rPr>
                <w:sz w:val="24"/>
                <w:szCs w:val="24"/>
              </w:rPr>
            </w:pPr>
            <w:r w:rsidRPr="006D06E6">
              <w:rPr>
                <w:rFonts w:eastAsia="Times New Roman"/>
                <w:b/>
                <w:sz w:val="24"/>
                <w:szCs w:val="24"/>
              </w:rPr>
              <w:t>NHÓM VẤN ĐỀ</w:t>
            </w:r>
            <w:r w:rsidRPr="006D06E6">
              <w:rPr>
                <w:rFonts w:eastAsia="Times New Roman"/>
                <w:b/>
                <w:sz w:val="24"/>
                <w:szCs w:val="24"/>
              </w:rPr>
              <w:br/>
              <w:t>HOẶC ĐIỀU, KHOẢN</w:t>
            </w:r>
          </w:p>
        </w:tc>
        <w:tc>
          <w:tcPr>
            <w:tcW w:w="1644" w:type="dxa"/>
            <w:tcMar>
              <w:top w:w="55" w:type="dxa"/>
              <w:left w:w="70" w:type="dxa"/>
              <w:bottom w:w="55" w:type="dxa"/>
              <w:right w:w="70" w:type="dxa"/>
            </w:tcMar>
            <w:vAlign w:val="center"/>
          </w:tcPr>
          <w:p w14:paraId="6460C157" w14:textId="77777777" w:rsidR="00D5207D" w:rsidRPr="006D06E6" w:rsidRDefault="00B562A6">
            <w:pPr>
              <w:jc w:val="center"/>
              <w:rPr>
                <w:sz w:val="24"/>
                <w:szCs w:val="24"/>
              </w:rPr>
            </w:pPr>
            <w:r w:rsidRPr="006D06E6">
              <w:rPr>
                <w:rFonts w:eastAsia="Times New Roman"/>
                <w:b/>
                <w:sz w:val="24"/>
                <w:szCs w:val="24"/>
              </w:rPr>
              <w:t>CHỦ THỂ GÓP Ý</w:t>
            </w:r>
          </w:p>
        </w:tc>
        <w:tc>
          <w:tcPr>
            <w:tcW w:w="5812" w:type="dxa"/>
            <w:tcMar>
              <w:top w:w="55" w:type="dxa"/>
              <w:left w:w="70" w:type="dxa"/>
              <w:bottom w:w="55" w:type="dxa"/>
              <w:right w:w="70" w:type="dxa"/>
            </w:tcMar>
            <w:vAlign w:val="center"/>
          </w:tcPr>
          <w:p w14:paraId="6EE61B1E" w14:textId="77777777" w:rsidR="00D5207D" w:rsidRPr="006D06E6" w:rsidRDefault="00B562A6">
            <w:pPr>
              <w:jc w:val="center"/>
              <w:rPr>
                <w:sz w:val="24"/>
                <w:szCs w:val="24"/>
              </w:rPr>
            </w:pPr>
            <w:r w:rsidRPr="006D06E6">
              <w:rPr>
                <w:rFonts w:eastAsia="Times New Roman"/>
                <w:b/>
                <w:sz w:val="24"/>
                <w:szCs w:val="24"/>
              </w:rPr>
              <w:t>NỘI DUNG GÓP Ý</w:t>
            </w:r>
          </w:p>
        </w:tc>
        <w:tc>
          <w:tcPr>
            <w:tcW w:w="5953" w:type="dxa"/>
            <w:tcMar>
              <w:top w:w="55" w:type="dxa"/>
              <w:left w:w="70" w:type="dxa"/>
              <w:bottom w:w="55" w:type="dxa"/>
              <w:right w:w="70" w:type="dxa"/>
            </w:tcMar>
            <w:vAlign w:val="center"/>
          </w:tcPr>
          <w:p w14:paraId="0CAB390D" w14:textId="77777777" w:rsidR="00D5207D" w:rsidRPr="006D06E6" w:rsidRDefault="00B562A6" w:rsidP="00BF2522">
            <w:pPr>
              <w:jc w:val="center"/>
              <w:rPr>
                <w:sz w:val="24"/>
                <w:szCs w:val="24"/>
              </w:rPr>
            </w:pPr>
            <w:r w:rsidRPr="006D06E6">
              <w:rPr>
                <w:rFonts w:eastAsia="Times New Roman"/>
                <w:b/>
                <w:sz w:val="24"/>
                <w:szCs w:val="24"/>
              </w:rPr>
              <w:t>NỘI DUNG TIẾP THU,</w:t>
            </w:r>
            <w:r w:rsidR="00BF2522" w:rsidRPr="006D06E6">
              <w:rPr>
                <w:rFonts w:eastAsia="Times New Roman"/>
                <w:b/>
                <w:sz w:val="24"/>
                <w:szCs w:val="24"/>
              </w:rPr>
              <w:t xml:space="preserve"> </w:t>
            </w:r>
            <w:r w:rsidRPr="006D06E6">
              <w:rPr>
                <w:rFonts w:eastAsia="Times New Roman"/>
                <w:b/>
                <w:sz w:val="24"/>
                <w:szCs w:val="24"/>
              </w:rPr>
              <w:t>GIẢI TRÌNH</w:t>
            </w:r>
          </w:p>
        </w:tc>
      </w:tr>
      <w:tr w:rsidR="006D06E6" w:rsidRPr="006D06E6" w14:paraId="48D0CD16" w14:textId="77777777" w:rsidTr="00B562A6">
        <w:tc>
          <w:tcPr>
            <w:tcW w:w="1900" w:type="dxa"/>
            <w:tcMar>
              <w:top w:w="55" w:type="dxa"/>
              <w:left w:w="70" w:type="dxa"/>
              <w:bottom w:w="55" w:type="dxa"/>
              <w:right w:w="70" w:type="dxa"/>
            </w:tcMar>
            <w:vAlign w:val="center"/>
          </w:tcPr>
          <w:p w14:paraId="7D1F95C0" w14:textId="77777777" w:rsidR="004E56B4" w:rsidRPr="006D06E6" w:rsidRDefault="00577EE0">
            <w:pPr>
              <w:rPr>
                <w:rFonts w:cs="Times New Roman"/>
                <w:sz w:val="24"/>
                <w:szCs w:val="24"/>
              </w:rPr>
            </w:pPr>
            <w:r w:rsidRPr="006D06E6">
              <w:rPr>
                <w:rFonts w:eastAsia="Times New Roman"/>
                <w:sz w:val="24"/>
              </w:rPr>
              <w:t>Điều 1. Nguồn hỗ trợ</w:t>
            </w:r>
          </w:p>
        </w:tc>
        <w:tc>
          <w:tcPr>
            <w:tcW w:w="1644" w:type="dxa"/>
            <w:tcMar>
              <w:top w:w="55" w:type="dxa"/>
              <w:left w:w="70" w:type="dxa"/>
              <w:bottom w:w="55" w:type="dxa"/>
              <w:right w:w="70" w:type="dxa"/>
            </w:tcMar>
            <w:vAlign w:val="center"/>
          </w:tcPr>
          <w:p w14:paraId="3FC0DCEA" w14:textId="77777777" w:rsidR="00D5207D" w:rsidRPr="006D06E6" w:rsidRDefault="00B562A6">
            <w:pPr>
              <w:jc w:val="center"/>
              <w:rPr>
                <w:sz w:val="24"/>
                <w:szCs w:val="24"/>
              </w:rPr>
            </w:pPr>
            <w:r w:rsidRPr="006D06E6">
              <w:rPr>
                <w:rFonts w:eastAsia="Times New Roman"/>
                <w:sz w:val="24"/>
              </w:rPr>
              <w:t>Cục Khởi nghiệp và Doanh nghiệp công nghệ, Công văn số 1358/CKN-KNST và Công văn số 1371/CKN-KNST</w:t>
            </w:r>
          </w:p>
        </w:tc>
        <w:tc>
          <w:tcPr>
            <w:tcW w:w="5812" w:type="dxa"/>
            <w:tcMar>
              <w:top w:w="55" w:type="dxa"/>
              <w:left w:w="70" w:type="dxa"/>
              <w:bottom w:w="55" w:type="dxa"/>
              <w:right w:w="70" w:type="dxa"/>
            </w:tcMar>
            <w:vAlign w:val="center"/>
          </w:tcPr>
          <w:p w14:paraId="64E7C1B7"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rà soát, chỉnh sửa tên gọi và Điều 1 của dự thảo Nghị quyết, bảo đảm thể hiện đầy đủ nội dung “hỗ trợ không hoàn lại từ nguồn chi thường xuyên của ngân sách Thành phố” theo đúng điểm h khoản 2 Điều 30 Luật Phát triển đô thị số 18/2026/QH16 và trong phạm vi thẩm quyền được giao.</w:t>
            </w:r>
          </w:p>
        </w:tc>
        <w:tc>
          <w:tcPr>
            <w:tcW w:w="5953" w:type="dxa"/>
            <w:tcMar>
              <w:top w:w="55" w:type="dxa"/>
              <w:left w:w="70" w:type="dxa"/>
              <w:bottom w:w="55" w:type="dxa"/>
              <w:right w:w="70" w:type="dxa"/>
            </w:tcMar>
            <w:vAlign w:val="center"/>
          </w:tcPr>
          <w:p w14:paraId="29FF78FA"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Tên Nghị quyết, Điều 1 và các tài liệu trong hồ sơ đã được chỉnh lý thống nhất cụm từ “hỗ trợ không hoàn lại từ nguồn chi thường xuyên của ngân sách Thành phố”.</w:t>
            </w:r>
          </w:p>
        </w:tc>
      </w:tr>
      <w:tr w:rsidR="006D06E6" w:rsidRPr="006D06E6" w14:paraId="2A7D47E5" w14:textId="77777777" w:rsidTr="00B562A6">
        <w:tc>
          <w:tcPr>
            <w:tcW w:w="1900" w:type="dxa"/>
            <w:tcMar>
              <w:top w:w="55" w:type="dxa"/>
              <w:left w:w="70" w:type="dxa"/>
              <w:bottom w:w="55" w:type="dxa"/>
              <w:right w:w="70" w:type="dxa"/>
            </w:tcMar>
            <w:vAlign w:val="center"/>
          </w:tcPr>
          <w:p w14:paraId="0D589CA9" w14:textId="77777777" w:rsidR="004E56B4" w:rsidRPr="006D06E6" w:rsidRDefault="00577EE0">
            <w:pPr>
              <w:rPr>
                <w:rFonts w:cs="Times New Roman"/>
                <w:sz w:val="24"/>
                <w:szCs w:val="24"/>
              </w:rPr>
            </w:pPr>
            <w:r w:rsidRPr="006D06E6">
              <w:rPr>
                <w:rFonts w:eastAsia="Times New Roman"/>
                <w:sz w:val="24"/>
              </w:rPr>
              <w:lastRenderedPageBreak/>
              <w:t>Điều 1. Dẫn chiếu căn cứ pháp lý</w:t>
            </w:r>
          </w:p>
        </w:tc>
        <w:tc>
          <w:tcPr>
            <w:tcW w:w="1644" w:type="dxa"/>
            <w:tcMar>
              <w:top w:w="55" w:type="dxa"/>
              <w:left w:w="70" w:type="dxa"/>
              <w:bottom w:w="55" w:type="dxa"/>
              <w:right w:w="70" w:type="dxa"/>
            </w:tcMar>
            <w:vAlign w:val="center"/>
          </w:tcPr>
          <w:p w14:paraId="1B7EC6CE"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699D8448"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Dự thảo dẫn chiếu “thực hiện điểm h khoản 2 Điều 31 Luật Phát triển đô thị”, trong khi nội dung này được quy định tại điểm h khoản 2 Điều 30. Đề nghị rà soát, chỉnh sửa để bảo đảm chính xác và thống nhất về điều, khoản, điểm được dẫn chiếu trong toàn bộ hồ sơ.</w:t>
            </w:r>
          </w:p>
        </w:tc>
        <w:tc>
          <w:tcPr>
            <w:tcW w:w="5953" w:type="dxa"/>
            <w:tcMar>
              <w:top w:w="55" w:type="dxa"/>
              <w:left w:w="70" w:type="dxa"/>
              <w:bottom w:w="55" w:type="dxa"/>
              <w:right w:w="70" w:type="dxa"/>
            </w:tcMar>
            <w:vAlign w:val="center"/>
          </w:tcPr>
          <w:p w14:paraId="5AE8A7E1"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Dự thảo Nghị quyết và toàn bộ hồ sơ đã được rà soát, chỉnh lý thống nhất dẫn chiếu đúng điểm h khoản 2 Điều 30 Luật Phát triển đô thị.</w:t>
            </w:r>
          </w:p>
        </w:tc>
      </w:tr>
      <w:tr w:rsidR="006D06E6" w:rsidRPr="006D06E6" w14:paraId="20B330E5" w14:textId="77777777" w:rsidTr="00B562A6">
        <w:tc>
          <w:tcPr>
            <w:tcW w:w="1900" w:type="dxa"/>
            <w:tcMar>
              <w:top w:w="55" w:type="dxa"/>
              <w:left w:w="70" w:type="dxa"/>
              <w:bottom w:w="55" w:type="dxa"/>
              <w:right w:w="70" w:type="dxa"/>
            </w:tcMar>
            <w:vAlign w:val="center"/>
          </w:tcPr>
          <w:p w14:paraId="233BD7E9" w14:textId="77777777" w:rsidR="004E56B4" w:rsidRPr="006D06E6" w:rsidRDefault="00577EE0">
            <w:pPr>
              <w:rPr>
                <w:rFonts w:cs="Times New Roman"/>
                <w:sz w:val="24"/>
                <w:szCs w:val="24"/>
              </w:rPr>
            </w:pPr>
            <w:r w:rsidRPr="006D06E6">
              <w:rPr>
                <w:rFonts w:eastAsia="Times New Roman"/>
                <w:sz w:val="24"/>
              </w:rPr>
              <w:t>Điều 5, Điều 6. Phân định tiêu chí và điều kiện</w:t>
            </w:r>
          </w:p>
        </w:tc>
        <w:tc>
          <w:tcPr>
            <w:tcW w:w="1644" w:type="dxa"/>
            <w:tcMar>
              <w:top w:w="55" w:type="dxa"/>
              <w:left w:w="70" w:type="dxa"/>
              <w:bottom w:w="55" w:type="dxa"/>
              <w:right w:w="70" w:type="dxa"/>
            </w:tcMar>
            <w:vAlign w:val="center"/>
          </w:tcPr>
          <w:p w14:paraId="49D6D691"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51F2591C"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rà soát, phân định rõ nội hàm và mục đích của tiêu chí tại Điều 5 và điều kiện tại Điều 6, tránh quy định cùng một nội dung dưới hai cách tiếp cận khác nhau; đồng thời làm rõ nội dung nào là tiêu chí để xem xét hỗ trợ, nội dung nào là điều kiện bắt buộc để trung tâm ươm tạo được đăng ký thực hiện nhiệm vụ.</w:t>
            </w:r>
          </w:p>
        </w:tc>
        <w:tc>
          <w:tcPr>
            <w:tcW w:w="5953" w:type="dxa"/>
            <w:tcMar>
              <w:top w:w="55" w:type="dxa"/>
              <w:left w:w="70" w:type="dxa"/>
              <w:bottom w:w="55" w:type="dxa"/>
              <w:right w:w="70" w:type="dxa"/>
            </w:tcMar>
            <w:vAlign w:val="center"/>
          </w:tcPr>
          <w:p w14:paraId="5951583E"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Điều 5 quy định tiêu chí để đánh giá chất lượng, tính khả thi của dự án và năng lực tổ chức thực hiện của trung tâm ươm tạo; Điều 6 quy định các điều kiện bắt buộc đối với dự án và trung tâm ươm tạo. Dự thảo đồng thời làm rõ trung tâm ươm tạo phải được công nhận theo quy định của Luật Khoa học, công nghệ và đổi mới sáng tạo, có tư cách pháp nhân và hoạt động trên địa bàn Thành phố.</w:t>
            </w:r>
          </w:p>
        </w:tc>
      </w:tr>
      <w:tr w:rsidR="006D06E6" w:rsidRPr="006D06E6" w14:paraId="0DAB1F78" w14:textId="77777777" w:rsidTr="00B562A6">
        <w:tc>
          <w:tcPr>
            <w:tcW w:w="1900" w:type="dxa"/>
            <w:tcMar>
              <w:top w:w="55" w:type="dxa"/>
              <w:left w:w="70" w:type="dxa"/>
              <w:bottom w:w="55" w:type="dxa"/>
              <w:right w:w="70" w:type="dxa"/>
            </w:tcMar>
            <w:vAlign w:val="center"/>
          </w:tcPr>
          <w:p w14:paraId="15678A06" w14:textId="77777777" w:rsidR="004E56B4" w:rsidRPr="006D06E6" w:rsidRDefault="00577EE0">
            <w:pPr>
              <w:rPr>
                <w:rFonts w:cs="Times New Roman"/>
                <w:sz w:val="24"/>
                <w:szCs w:val="24"/>
              </w:rPr>
            </w:pPr>
            <w:r w:rsidRPr="006D06E6">
              <w:rPr>
                <w:rFonts w:eastAsia="Times New Roman"/>
                <w:sz w:val="24"/>
              </w:rPr>
              <w:t>Điều 3, Điều 5. Kết quả đầu ra theo từng giai đoạn</w:t>
            </w:r>
          </w:p>
        </w:tc>
        <w:tc>
          <w:tcPr>
            <w:tcW w:w="1644" w:type="dxa"/>
            <w:tcMar>
              <w:top w:w="55" w:type="dxa"/>
              <w:left w:w="70" w:type="dxa"/>
              <w:bottom w:w="55" w:type="dxa"/>
              <w:right w:w="70" w:type="dxa"/>
            </w:tcMar>
            <w:vAlign w:val="center"/>
          </w:tcPr>
          <w:p w14:paraId="4026D0EF"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2C2A48FA"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bổ sung, làm rõ sản phẩm, kết quả đầu ra tương ứng với từng giai đoạn của dự án; đồng thời xem xét định lượng hóa các kết quả đầu ra chủ yếu để làm căn cứ xác định mức hỗ trợ phù hợp với quy mô, nội dung, tính chất và kết quả dự kiến của từng dự án.</w:t>
            </w:r>
          </w:p>
        </w:tc>
        <w:tc>
          <w:tcPr>
            <w:tcW w:w="5953" w:type="dxa"/>
            <w:tcMar>
              <w:top w:w="55" w:type="dxa"/>
              <w:left w:w="70" w:type="dxa"/>
              <w:bottom w:w="55" w:type="dxa"/>
              <w:right w:w="70" w:type="dxa"/>
            </w:tcMar>
            <w:vAlign w:val="center"/>
          </w:tcPr>
          <w:p w14:paraId="6D3E64BA"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Dự thảo đã quy định kết quả đầu ra tối thiểu tương ứng với từng giai đoạn ý tưởng, kiểm chứng và tăng tốc. Việc đánh giá dự án căn cứ tiêu chí và kết quả đầu ra của giai đoạn tương ứng; không quy định một bộ ngưỡng định lượng cứng áp dụng chung cho mọi lĩnh vực do tính chất và mức độ trưởng thành của dự án khác nhau.</w:t>
            </w:r>
          </w:p>
        </w:tc>
      </w:tr>
      <w:tr w:rsidR="006D06E6" w:rsidRPr="006D06E6" w14:paraId="6DC04B71" w14:textId="77777777" w:rsidTr="00B562A6">
        <w:tc>
          <w:tcPr>
            <w:tcW w:w="1900" w:type="dxa"/>
            <w:tcMar>
              <w:top w:w="55" w:type="dxa"/>
              <w:left w:w="70" w:type="dxa"/>
              <w:bottom w:w="55" w:type="dxa"/>
              <w:right w:w="70" w:type="dxa"/>
            </w:tcMar>
            <w:vAlign w:val="center"/>
          </w:tcPr>
          <w:p w14:paraId="78E307A5" w14:textId="77777777" w:rsidR="004E56B4" w:rsidRPr="006D06E6" w:rsidRDefault="00577EE0">
            <w:pPr>
              <w:rPr>
                <w:rFonts w:cs="Times New Roman"/>
                <w:sz w:val="24"/>
                <w:szCs w:val="24"/>
              </w:rPr>
            </w:pPr>
            <w:r w:rsidRPr="006D06E6">
              <w:rPr>
                <w:rFonts w:eastAsia="Times New Roman"/>
                <w:sz w:val="24"/>
              </w:rPr>
              <w:t>Điều 4. Phương thức hỗ trợ theo giai đoạn</w:t>
            </w:r>
          </w:p>
        </w:tc>
        <w:tc>
          <w:tcPr>
            <w:tcW w:w="1644" w:type="dxa"/>
            <w:tcMar>
              <w:top w:w="55" w:type="dxa"/>
              <w:left w:w="70" w:type="dxa"/>
              <w:bottom w:w="55" w:type="dxa"/>
              <w:right w:w="70" w:type="dxa"/>
            </w:tcMar>
            <w:vAlign w:val="center"/>
          </w:tcPr>
          <w:p w14:paraId="38A948F7"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516107AB"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làm rõ phương thức tổ chức hỗ trợ dự án khởi nghiệp sáng tạo theo giai đoạn: hỗ trợ đối với 01 đối tượng/01 dự án được triển khai qua 03 giai đoạn hay hỗ trợ đối với 01 đối tượng/03 dự án tương ứng với 03 giai đoạn.</w:t>
            </w:r>
          </w:p>
        </w:tc>
        <w:tc>
          <w:tcPr>
            <w:tcW w:w="5953" w:type="dxa"/>
            <w:tcMar>
              <w:top w:w="55" w:type="dxa"/>
              <w:left w:w="70" w:type="dxa"/>
              <w:bottom w:w="55" w:type="dxa"/>
              <w:right w:w="70" w:type="dxa"/>
            </w:tcMar>
            <w:vAlign w:val="center"/>
          </w:tcPr>
          <w:p w14:paraId="12700018"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Việc hỗ trợ được xác định theo từng dự án và từng giai đoạn. Mỗi nhiệm vụ có thể hỗ trợ một hoặc nhiều dự án; mỗi dự án chỉ được hỗ trợ một lần ở mỗi giai đoạn. Trường hợp tại cùng thời điểm dự án đáp ứng điều kiện của nhiều giai đoạn thì lựa chọn một giai đoạn phù hợp để đề nghị hỗ trợ; khi chuyển sang giai đoạn tiếp theo, dự án được xem xét hỗ trợ nếu đáp ứng tiêu chí, điều kiện của giai đoạn đó và được tuyển chọn theo quy định.</w:t>
            </w:r>
          </w:p>
        </w:tc>
      </w:tr>
      <w:tr w:rsidR="006D06E6" w:rsidRPr="006D06E6" w14:paraId="585A59F8" w14:textId="77777777" w:rsidTr="00B562A6">
        <w:tc>
          <w:tcPr>
            <w:tcW w:w="1900" w:type="dxa"/>
            <w:tcMar>
              <w:top w:w="55" w:type="dxa"/>
              <w:left w:w="70" w:type="dxa"/>
              <w:bottom w:w="55" w:type="dxa"/>
              <w:right w:w="70" w:type="dxa"/>
            </w:tcMar>
            <w:vAlign w:val="center"/>
          </w:tcPr>
          <w:p w14:paraId="051B2D22" w14:textId="77777777" w:rsidR="004E56B4" w:rsidRPr="006D06E6" w:rsidRDefault="00577EE0">
            <w:pPr>
              <w:rPr>
                <w:rFonts w:cs="Times New Roman"/>
                <w:sz w:val="24"/>
                <w:szCs w:val="24"/>
              </w:rPr>
            </w:pPr>
            <w:r w:rsidRPr="006D06E6">
              <w:rPr>
                <w:rFonts w:eastAsia="Times New Roman"/>
                <w:sz w:val="24"/>
              </w:rPr>
              <w:t>Điều 1, Điều 9. Nguồn kinh phí thực hiện</w:t>
            </w:r>
          </w:p>
        </w:tc>
        <w:tc>
          <w:tcPr>
            <w:tcW w:w="1644" w:type="dxa"/>
            <w:tcMar>
              <w:top w:w="55" w:type="dxa"/>
              <w:left w:w="70" w:type="dxa"/>
              <w:bottom w:w="55" w:type="dxa"/>
              <w:right w:w="70" w:type="dxa"/>
            </w:tcMar>
            <w:vAlign w:val="center"/>
          </w:tcPr>
          <w:p w14:paraId="7E9F2739"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3AB0A68D"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 xml:space="preserve">Đề nghị thống nhất cách diễn đạt về nguồn kinh phí theo nguyên văn điểm h khoản 2 Điều 30 Luật Phát triển đô thị và bổ sung nguyên tắc bố trí dự toán; cụ thể xác định kinh </w:t>
            </w:r>
            <w:r w:rsidRPr="006D06E6">
              <w:rPr>
                <w:rFonts w:ascii="Times New Roman" w:hAnsi="Times New Roman"/>
                <w:color w:val="auto"/>
              </w:rPr>
              <w:lastRenderedPageBreak/>
              <w:t>phí từ nguồn chi thường xuyên của ngân sách Thành phố cho sự nghiệp khoa học, công nghệ, đổi mới sáng tạo và chuyển đổi số trong phạm vi dự toán được cấp có thẩm quyền giao hằng năm.</w:t>
            </w:r>
          </w:p>
        </w:tc>
        <w:tc>
          <w:tcPr>
            <w:tcW w:w="5953" w:type="dxa"/>
            <w:tcMar>
              <w:top w:w="55" w:type="dxa"/>
              <w:left w:w="70" w:type="dxa"/>
              <w:bottom w:w="55" w:type="dxa"/>
              <w:right w:w="70" w:type="dxa"/>
            </w:tcMar>
            <w:vAlign w:val="center"/>
          </w:tcPr>
          <w:p w14:paraId="25F237FB" w14:textId="77777777" w:rsidR="00F103F3" w:rsidRPr="006D06E6" w:rsidRDefault="00C53367" w:rsidP="001C6507">
            <w:pPr>
              <w:jc w:val="both"/>
              <w:rPr>
                <w:rFonts w:eastAsia="Times New Roman" w:cs="Times New Roman"/>
                <w:sz w:val="24"/>
                <w:szCs w:val="24"/>
              </w:rPr>
            </w:pPr>
            <w:r w:rsidRPr="006D06E6">
              <w:rPr>
                <w:rFonts w:eastAsia="Times New Roman"/>
                <w:sz w:val="24"/>
              </w:rPr>
              <w:lastRenderedPageBreak/>
              <w:t xml:space="preserve">Tiếp thu. Tên Nghị quyết, Điều 1, Điều 9 và hồ sơ đã được chỉnh lý thống nhất xác định kinh phí thực hiện hỗ trợ từ nguồn chi thường xuyên của ngân sách Thành phố cho sự </w:t>
            </w:r>
            <w:r w:rsidRPr="006D06E6">
              <w:rPr>
                <w:rFonts w:eastAsia="Times New Roman"/>
                <w:sz w:val="24"/>
              </w:rPr>
              <w:lastRenderedPageBreak/>
              <w:t>nghiệp khoa học, công nghệ, đổi mới sáng tạo và chuyển đổi số, trong phạm vi dự toán được cấp có thẩm quyền giao hằng năm.</w:t>
            </w:r>
          </w:p>
        </w:tc>
      </w:tr>
      <w:tr w:rsidR="006D06E6" w:rsidRPr="006D06E6" w14:paraId="52AE0797" w14:textId="77777777" w:rsidTr="00B562A6">
        <w:tc>
          <w:tcPr>
            <w:tcW w:w="1900" w:type="dxa"/>
            <w:tcMar>
              <w:top w:w="55" w:type="dxa"/>
              <w:left w:w="70" w:type="dxa"/>
              <w:bottom w:w="55" w:type="dxa"/>
              <w:right w:w="70" w:type="dxa"/>
            </w:tcMar>
            <w:vAlign w:val="center"/>
          </w:tcPr>
          <w:p w14:paraId="1D3A6B5E" w14:textId="77777777" w:rsidR="004E56B4" w:rsidRPr="006D06E6" w:rsidRDefault="00577EE0">
            <w:pPr>
              <w:rPr>
                <w:rFonts w:cs="Times New Roman"/>
                <w:sz w:val="24"/>
                <w:szCs w:val="24"/>
              </w:rPr>
            </w:pPr>
            <w:r w:rsidRPr="006D06E6">
              <w:rPr>
                <w:rFonts w:eastAsia="Times New Roman"/>
                <w:sz w:val="24"/>
              </w:rPr>
              <w:lastRenderedPageBreak/>
              <w:t>Điều 7. Định mức chi và chủ thể nhận tiền công</w:t>
            </w:r>
          </w:p>
        </w:tc>
        <w:tc>
          <w:tcPr>
            <w:tcW w:w="1644" w:type="dxa"/>
            <w:tcMar>
              <w:top w:w="55" w:type="dxa"/>
              <w:left w:w="70" w:type="dxa"/>
              <w:bottom w:w="55" w:type="dxa"/>
              <w:right w:w="70" w:type="dxa"/>
            </w:tcMar>
            <w:vAlign w:val="center"/>
          </w:tcPr>
          <w:p w14:paraId="6535BAAE"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594794A1"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làm rõ căn cứ áp dụng định mức đối với tiền công lao động trực tiếp và thuê chuyên gia; đồng thời chỉnh đối tượng nhận tiền công từ “cá nhân, nhóm cá nhân, doanh nghiệp trực tiếp thực hiện dự án” thành “cá nhân, thành viên nhóm cá nhân, người lao động của doanh nghiệp trực tiếp thực hiện dự án”.</w:t>
            </w:r>
          </w:p>
        </w:tc>
        <w:tc>
          <w:tcPr>
            <w:tcW w:w="5953" w:type="dxa"/>
            <w:tcMar>
              <w:top w:w="55" w:type="dxa"/>
              <w:left w:w="70" w:type="dxa"/>
              <w:bottom w:w="55" w:type="dxa"/>
              <w:right w:w="70" w:type="dxa"/>
            </w:tcMar>
            <w:vAlign w:val="center"/>
          </w:tcPr>
          <w:p w14:paraId="2A1DC226" w14:textId="77777777" w:rsidR="00F103F3" w:rsidRPr="006D06E6" w:rsidRDefault="00C53367" w:rsidP="001C6507">
            <w:pPr>
              <w:jc w:val="both"/>
              <w:rPr>
                <w:rFonts w:eastAsia="Times New Roman" w:cs="Times New Roman"/>
                <w:sz w:val="24"/>
                <w:szCs w:val="24"/>
              </w:rPr>
            </w:pPr>
            <w:r w:rsidRPr="006D06E6">
              <w:rPr>
                <w:rFonts w:eastAsia="Times New Roman"/>
                <w:sz w:val="24"/>
              </w:rPr>
              <w:t>Tiếp thu một phần. Điểm a khoản 1 Điều 7 đã chỉnh đối tượng nhận tiền công thành “cá nhân, thành viên nhóm cá nhân, người lao động của doanh nghiệp trực tiếp thực hiện dự án”. Nghị quyết quy định mức hỗ trợ theo dự án và cơ cấu nhóm chi; việc lập, thẩm định dự toán, quản lý, sử dụng và quyết toán kinh phí đối với các nội dung không được Nghị quyết quy định cụ thể thực hiện theo pháp luật tài chính đối với nhiệm vụ khoa học, công nghệ và đổi mới sáng tạo sử dụng ngân sách nhà nước và quy định của Thành phố.</w:t>
            </w:r>
          </w:p>
        </w:tc>
      </w:tr>
      <w:tr w:rsidR="006D06E6" w:rsidRPr="006D06E6" w14:paraId="386B9038" w14:textId="77777777" w:rsidTr="00B562A6">
        <w:tc>
          <w:tcPr>
            <w:tcW w:w="1900" w:type="dxa"/>
            <w:tcMar>
              <w:top w:w="55" w:type="dxa"/>
              <w:left w:w="70" w:type="dxa"/>
              <w:bottom w:w="55" w:type="dxa"/>
              <w:right w:w="70" w:type="dxa"/>
            </w:tcMar>
            <w:vAlign w:val="center"/>
          </w:tcPr>
          <w:p w14:paraId="7966193F" w14:textId="77777777" w:rsidR="004E56B4" w:rsidRPr="006D06E6" w:rsidRDefault="00577EE0">
            <w:pPr>
              <w:rPr>
                <w:rFonts w:cs="Times New Roman"/>
                <w:sz w:val="24"/>
                <w:szCs w:val="24"/>
              </w:rPr>
            </w:pPr>
            <w:r w:rsidRPr="006D06E6">
              <w:rPr>
                <w:rFonts w:eastAsia="Times New Roman"/>
                <w:sz w:val="24"/>
              </w:rPr>
              <w:t>Điều 7. Cơ cấu mức hỗ trợ giữa các nhóm chi</w:t>
            </w:r>
          </w:p>
        </w:tc>
        <w:tc>
          <w:tcPr>
            <w:tcW w:w="1644" w:type="dxa"/>
            <w:tcMar>
              <w:top w:w="55" w:type="dxa"/>
              <w:left w:w="70" w:type="dxa"/>
              <w:bottom w:w="55" w:type="dxa"/>
              <w:right w:w="70" w:type="dxa"/>
            </w:tcMar>
            <w:vAlign w:val="center"/>
          </w:tcPr>
          <w:p w14:paraId="5CE38D95"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20BB652C"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làm rõ cơ sở cơ cấu tiền công/chi phí cho trung tâm ươm tạo ở giai đoạn ý tưởng, kiểm chứng là 40%/60%, trong khi giai đoạn tăng tốc là 37%/63% (185/315 triệu đồng), hoặc điều chỉnh cho thống nhất tỷ lệ.</w:t>
            </w:r>
          </w:p>
        </w:tc>
        <w:tc>
          <w:tcPr>
            <w:tcW w:w="5953" w:type="dxa"/>
            <w:tcMar>
              <w:top w:w="55" w:type="dxa"/>
              <w:left w:w="70" w:type="dxa"/>
              <w:bottom w:w="55" w:type="dxa"/>
              <w:right w:w="70" w:type="dxa"/>
            </w:tcMar>
            <w:vAlign w:val="center"/>
          </w:tcPr>
          <w:p w14:paraId="50250CDE" w14:textId="77777777" w:rsidR="00F103F3" w:rsidRPr="006D06E6" w:rsidRDefault="00C53367" w:rsidP="001C6507">
            <w:pPr>
              <w:jc w:val="both"/>
              <w:rPr>
                <w:rFonts w:eastAsia="Times New Roman" w:cs="Times New Roman"/>
                <w:sz w:val="24"/>
                <w:szCs w:val="24"/>
              </w:rPr>
            </w:pPr>
            <w:r w:rsidRPr="006D06E6">
              <w:rPr>
                <w:rFonts w:eastAsia="Times New Roman"/>
                <w:sz w:val="24"/>
              </w:rPr>
              <w:t>Giải trình, bảo lưu. Cơ cấu hỗ trợ được xác định theo tính chất và nhu cầu nguồn lực của từng giai đoạn, không áp dụng cùng một tỷ lệ cho mọi giai đoạn. Giai đoạn ý tưởng và kiểm chứng dành tỷ trọng tiền công trực tiếp 40% do nhóm dự án thực hiện nhiều hoạt động nghiên cứu, xác thực nhu cầu, phát triển và thử nghiệm sản phẩm, mô hình kinh doanh. Giai đoạn tăng tốc có nhu cầu cao hơn về chuyên gia, dịch vụ chuyên sâu, xúc tiến thương mại, kết nối đầu tư và mở rộng thị trường nên tiếp tục dành tỷ trọng lớn hơn cho nhóm chi do trung tâm ươm tạo tổ chức thực hiện; cơ cấu 185/315 triệu đồng cơ bản kế thừa tương quan 150/250 triệu đồng của giai đoạn tăng tốc theo Nghị quyết số 20/2023/NQ-HĐND.</w:t>
            </w:r>
          </w:p>
        </w:tc>
      </w:tr>
      <w:tr w:rsidR="006D06E6" w:rsidRPr="006D06E6" w14:paraId="089DF1AC" w14:textId="77777777" w:rsidTr="00B562A6">
        <w:tc>
          <w:tcPr>
            <w:tcW w:w="1900" w:type="dxa"/>
            <w:tcMar>
              <w:top w:w="55" w:type="dxa"/>
              <w:left w:w="70" w:type="dxa"/>
              <w:bottom w:w="55" w:type="dxa"/>
              <w:right w:w="70" w:type="dxa"/>
            </w:tcMar>
            <w:vAlign w:val="center"/>
          </w:tcPr>
          <w:p w14:paraId="11887995" w14:textId="77777777" w:rsidR="004E56B4" w:rsidRPr="006D06E6" w:rsidRDefault="00577EE0">
            <w:pPr>
              <w:rPr>
                <w:rFonts w:cs="Times New Roman"/>
                <w:sz w:val="24"/>
                <w:szCs w:val="24"/>
              </w:rPr>
            </w:pPr>
            <w:r w:rsidRPr="006D06E6">
              <w:rPr>
                <w:rFonts w:eastAsia="Times New Roman"/>
                <w:sz w:val="24"/>
              </w:rPr>
              <w:t>Điều 7. Cơ sở đề xuất mức hỗ trợ tăng 25%</w:t>
            </w:r>
          </w:p>
        </w:tc>
        <w:tc>
          <w:tcPr>
            <w:tcW w:w="1644" w:type="dxa"/>
            <w:tcMar>
              <w:top w:w="55" w:type="dxa"/>
              <w:left w:w="70" w:type="dxa"/>
              <w:bottom w:w="55" w:type="dxa"/>
              <w:right w:w="70" w:type="dxa"/>
            </w:tcMar>
            <w:vAlign w:val="center"/>
          </w:tcPr>
          <w:p w14:paraId="3BACF650"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757222D7"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bổ sung căn cứ định lượng để làm rõ cơ sở của việc tăng mức hỗ trợ 25% so với Nghị quyết số 20/2023/NQ-HĐND.</w:t>
            </w:r>
          </w:p>
        </w:tc>
        <w:tc>
          <w:tcPr>
            <w:tcW w:w="5953" w:type="dxa"/>
            <w:tcMar>
              <w:top w:w="55" w:type="dxa"/>
              <w:left w:w="70" w:type="dxa"/>
              <w:bottom w:w="55" w:type="dxa"/>
              <w:right w:w="70" w:type="dxa"/>
            </w:tcMar>
            <w:vAlign w:val="center"/>
          </w:tcPr>
          <w:p w14:paraId="36AF92C2" w14:textId="77777777" w:rsidR="00F103F3" w:rsidRPr="006D06E6" w:rsidRDefault="00C53367" w:rsidP="001C6507">
            <w:pPr>
              <w:jc w:val="both"/>
              <w:rPr>
                <w:rFonts w:eastAsia="Times New Roman" w:cs="Times New Roman"/>
                <w:sz w:val="24"/>
                <w:szCs w:val="24"/>
              </w:rPr>
            </w:pPr>
            <w:r w:rsidRPr="006D06E6">
              <w:rPr>
                <w:rFonts w:eastAsia="Times New Roman"/>
                <w:sz w:val="24"/>
              </w:rPr>
              <w:t xml:space="preserve">Giải trình, bảo lưu. Mức 50 triệu đồng, 100 triệu đồng và 500 triệu đồng được đề xuất trên cơ sở kế thừa mức hỗ trợ 40 triệu đồng, 80 triệu đồng và 400 triệu đồng đang áp dụng; kết quả triển khai 35 nhiệm vụ, 179 dự án giai đoạn 2024 - 2025; yêu </w:t>
            </w:r>
            <w:r w:rsidRPr="006D06E6">
              <w:rPr>
                <w:rFonts w:eastAsia="Times New Roman"/>
                <w:sz w:val="24"/>
              </w:rPr>
              <w:lastRenderedPageBreak/>
              <w:t>cầu nâng cao kết quả đầu ra và cơ cấu nhu cầu nguồn lực theo từng giai đoạn. Mức tăng 25% không được xác định chỉ theo một chỉ số giá riêng lẻ mà là phương án chính sách tổng thể, đồng thời đã được đánh giá về khả năng cân đối nguồn lực trong hồ sơ.</w:t>
            </w:r>
          </w:p>
        </w:tc>
      </w:tr>
      <w:tr w:rsidR="006D06E6" w:rsidRPr="006D06E6" w14:paraId="2FE2E9B6" w14:textId="77777777" w:rsidTr="00B562A6">
        <w:tc>
          <w:tcPr>
            <w:tcW w:w="1900" w:type="dxa"/>
            <w:tcMar>
              <w:top w:w="55" w:type="dxa"/>
              <w:left w:w="70" w:type="dxa"/>
              <w:bottom w:w="55" w:type="dxa"/>
              <w:right w:w="70" w:type="dxa"/>
            </w:tcMar>
            <w:vAlign w:val="center"/>
          </w:tcPr>
          <w:p w14:paraId="2E4D1B1E" w14:textId="77777777" w:rsidR="004E56B4" w:rsidRPr="006D06E6" w:rsidRDefault="00577EE0">
            <w:pPr>
              <w:rPr>
                <w:rFonts w:cs="Times New Roman"/>
                <w:sz w:val="24"/>
                <w:szCs w:val="24"/>
              </w:rPr>
            </w:pPr>
            <w:r w:rsidRPr="006D06E6">
              <w:rPr>
                <w:rFonts w:eastAsia="Times New Roman"/>
                <w:sz w:val="24"/>
              </w:rPr>
              <w:lastRenderedPageBreak/>
              <w:t>Điều 4, Điều 7. Hỗ trợ tuần tự và tổng mức đối với một dự án</w:t>
            </w:r>
          </w:p>
        </w:tc>
        <w:tc>
          <w:tcPr>
            <w:tcW w:w="1644" w:type="dxa"/>
            <w:tcMar>
              <w:top w:w="55" w:type="dxa"/>
              <w:left w:w="70" w:type="dxa"/>
              <w:bottom w:w="55" w:type="dxa"/>
              <w:right w:w="70" w:type="dxa"/>
            </w:tcMar>
            <w:vAlign w:val="center"/>
          </w:tcPr>
          <w:p w14:paraId="5F161A40"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6DF9E69C"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quy định rõ một dự án có được hỗ trợ tuần tự qua cả 03 giai đoạn hay không; mỗi giai đoạn chỉ được hỗ trợ một lần và xác định tổng mức tối đa đối với một dự án.</w:t>
            </w:r>
          </w:p>
        </w:tc>
        <w:tc>
          <w:tcPr>
            <w:tcW w:w="5953" w:type="dxa"/>
            <w:tcMar>
              <w:top w:w="55" w:type="dxa"/>
              <w:left w:w="70" w:type="dxa"/>
              <w:bottom w:w="55" w:type="dxa"/>
              <w:right w:w="70" w:type="dxa"/>
            </w:tcMar>
            <w:vAlign w:val="center"/>
          </w:tcPr>
          <w:p w14:paraId="2710D4F3" w14:textId="77777777" w:rsidR="00E306BE" w:rsidRPr="006D06E6" w:rsidRDefault="00C53367" w:rsidP="00E306BE">
            <w:pPr>
              <w:pStyle w:val="pdq2pgselectionanchorcontainer"/>
              <w:spacing w:before="0" w:beforeAutospacing="0" w:after="0" w:afterAutospacing="0"/>
              <w:jc w:val="both"/>
            </w:pPr>
            <w:r w:rsidRPr="006D06E6">
              <w:t>Tiếp thu</w:t>
            </w:r>
            <w:r w:rsidR="00E306BE" w:rsidRPr="006D06E6">
              <w:t xml:space="preserve"> </w:t>
            </w:r>
            <w:r w:rsidR="00E306BE" w:rsidRPr="006D06E6">
              <w:rPr>
                <w:rStyle w:val="Strong"/>
                <w:b w:val="0"/>
              </w:rPr>
              <w:t>và làm rõ.</w:t>
            </w:r>
            <w:r w:rsidR="00E306BE" w:rsidRPr="006D06E6">
              <w:t xml:space="preserve"> Tại một thời điểm, một dự án khởi nghiệp sáng tạo chỉ được lựa chọn hỗ trợ </w:t>
            </w:r>
            <w:r w:rsidR="00E306BE" w:rsidRPr="006D06E6">
              <w:rPr>
                <w:rStyle w:val="Strong"/>
              </w:rPr>
              <w:t>01 giai đoạn trong cùng một nhiệm vụ</w:t>
            </w:r>
            <w:r w:rsidR="00E306BE" w:rsidRPr="006D06E6">
              <w:t xml:space="preserve"> (giai đoạn ý tưởng, giai đoạn kiểm chứng hoặc giai đoạn tăng tốc) và </w:t>
            </w:r>
            <w:r w:rsidR="00E306BE" w:rsidRPr="006D06E6">
              <w:rPr>
                <w:rStyle w:val="Strong"/>
              </w:rPr>
              <w:t>mỗi giai đoạn chỉ được hỗ trợ một lần</w:t>
            </w:r>
            <w:r w:rsidR="00E306BE" w:rsidRPr="006D06E6">
              <w:t>.</w:t>
            </w:r>
          </w:p>
          <w:p w14:paraId="4BC645DE" w14:textId="77777777" w:rsidR="00E306BE" w:rsidRPr="006D06E6" w:rsidRDefault="00E306BE" w:rsidP="00E306BE">
            <w:pPr>
              <w:pStyle w:val="NormalWeb"/>
              <w:spacing w:before="0" w:beforeAutospacing="0" w:after="0" w:afterAutospacing="0"/>
              <w:jc w:val="both"/>
            </w:pPr>
            <w:r w:rsidRPr="006D06E6">
              <w:t xml:space="preserve">Sau khi hoàn thành giai đoạn đã được hỗ trợ, nếu dự án tiếp tục phát triển, đáp ứng tiêu chí, điều kiện của giai đoạn khác thì </w:t>
            </w:r>
            <w:r w:rsidRPr="006D06E6">
              <w:rPr>
                <w:rStyle w:val="Strong"/>
              </w:rPr>
              <w:t>có thể được xem xét hỗ trợ ở giai đoạn đó thông qua một nhiệm vụ khác</w:t>
            </w:r>
            <w:r w:rsidRPr="006D06E6">
              <w:t>, trên cơ sở tiếp tục được trung tâm ươm tạo tuyển chọn và thực hiện đầy đủ trình tự, thủ tục theo quy định. Việc đã được hỗ trợ ở giai đoạn trước không làm phát sinh quyền đương nhiên được hỗ trợ ở giai đoạn tiếp theo.</w:t>
            </w:r>
          </w:p>
          <w:p w14:paraId="10733C74" w14:textId="77777777" w:rsidR="00F103F3" w:rsidRPr="006D06E6" w:rsidRDefault="00E306BE" w:rsidP="00E306BE">
            <w:pPr>
              <w:pStyle w:val="NormalWeb"/>
              <w:spacing w:before="0" w:beforeAutospacing="0" w:after="0" w:afterAutospacing="0"/>
              <w:jc w:val="both"/>
            </w:pPr>
            <w:r w:rsidRPr="006D06E6">
              <w:t xml:space="preserve">Như vậy, một dự án có thể được hỗ trợ tuần tự qua các giai đoạn trong quá trình phát triển, nhưng </w:t>
            </w:r>
            <w:r w:rsidRPr="006D06E6">
              <w:rPr>
                <w:rStyle w:val="Strong"/>
              </w:rPr>
              <w:t>không đồng thời nhận hỗ trợ cho nhiều giai đoạn trong cùng một nhiệm vụ và không được hỗ trợ lặp lại cùng một giai đoạn</w:t>
            </w:r>
            <w:r w:rsidRPr="006D06E6">
              <w:t xml:space="preserve">. </w:t>
            </w:r>
          </w:p>
        </w:tc>
      </w:tr>
      <w:tr w:rsidR="006D06E6" w:rsidRPr="006D06E6" w14:paraId="529F162C" w14:textId="77777777" w:rsidTr="00B562A6">
        <w:tc>
          <w:tcPr>
            <w:tcW w:w="1900" w:type="dxa"/>
            <w:tcMar>
              <w:top w:w="55" w:type="dxa"/>
              <w:left w:w="70" w:type="dxa"/>
              <w:bottom w:w="55" w:type="dxa"/>
              <w:right w:w="70" w:type="dxa"/>
            </w:tcMar>
            <w:vAlign w:val="center"/>
          </w:tcPr>
          <w:p w14:paraId="2F2CAE1B" w14:textId="77777777" w:rsidR="004E56B4" w:rsidRPr="006D06E6" w:rsidRDefault="00577EE0">
            <w:pPr>
              <w:rPr>
                <w:rFonts w:cs="Times New Roman"/>
                <w:sz w:val="24"/>
                <w:szCs w:val="24"/>
              </w:rPr>
            </w:pPr>
            <w:r w:rsidRPr="006D06E6">
              <w:rPr>
                <w:rFonts w:eastAsia="Times New Roman"/>
                <w:sz w:val="24"/>
              </w:rPr>
              <w:t>Điều 4, Điều 6. Kiểm soát hỗ trợ trùng lặp và xử lý vi phạm</w:t>
            </w:r>
          </w:p>
        </w:tc>
        <w:tc>
          <w:tcPr>
            <w:tcW w:w="1644" w:type="dxa"/>
            <w:tcMar>
              <w:top w:w="55" w:type="dxa"/>
              <w:left w:w="70" w:type="dxa"/>
              <w:bottom w:w="55" w:type="dxa"/>
              <w:right w:w="70" w:type="dxa"/>
            </w:tcMar>
            <w:vAlign w:val="center"/>
          </w:tcPr>
          <w:p w14:paraId="6020041E" w14:textId="77777777" w:rsidR="00D5207D" w:rsidRPr="006D06E6" w:rsidRDefault="00D5207D">
            <w:pPr>
              <w:jc w:val="center"/>
              <w:rPr>
                <w:sz w:val="24"/>
                <w:szCs w:val="24"/>
              </w:rPr>
            </w:pPr>
          </w:p>
        </w:tc>
        <w:tc>
          <w:tcPr>
            <w:tcW w:w="5812" w:type="dxa"/>
            <w:tcMar>
              <w:top w:w="55" w:type="dxa"/>
              <w:left w:w="70" w:type="dxa"/>
              <w:bottom w:w="55" w:type="dxa"/>
              <w:right w:w="70" w:type="dxa"/>
            </w:tcMar>
            <w:vAlign w:val="center"/>
          </w:tcPr>
          <w:p w14:paraId="474AE996" w14:textId="77777777" w:rsidR="00C075DA" w:rsidRPr="006D06E6" w:rsidRDefault="0015787B" w:rsidP="00C075DA">
            <w:pPr>
              <w:pStyle w:val="Heading1"/>
              <w:widowControl w:val="0"/>
              <w:numPr>
                <w:ilvl w:val="0"/>
                <w:numId w:val="7"/>
              </w:numPr>
              <w:tabs>
                <w:tab w:val="left" w:pos="284"/>
              </w:tabs>
              <w:ind w:left="0" w:firstLine="0"/>
              <w:jc w:val="both"/>
              <w:rPr>
                <w:rFonts w:ascii="Times New Roman" w:hAnsi="Times New Roman"/>
                <w:color w:val="auto"/>
                <w:szCs w:val="24"/>
              </w:rPr>
            </w:pPr>
            <w:r w:rsidRPr="006D06E6">
              <w:rPr>
                <w:rFonts w:ascii="Times New Roman" w:hAnsi="Times New Roman"/>
                <w:color w:val="auto"/>
              </w:rPr>
              <w:t>Đề nghị làm rõ cách thức xác minh và hệ quả pháp lý khi vi phạm nguyên tắc không hỗ trợ trùng lặp; xem xét nghĩa vụ cam kết, thu hồi kinh phí, dừng nhiệm vụ khi hồ sơ không trung thực và quản lý dữ liệu dự án đã được hỗ trợ.</w:t>
            </w:r>
          </w:p>
        </w:tc>
        <w:tc>
          <w:tcPr>
            <w:tcW w:w="5953" w:type="dxa"/>
            <w:tcMar>
              <w:top w:w="55" w:type="dxa"/>
              <w:left w:w="70" w:type="dxa"/>
              <w:bottom w:w="55" w:type="dxa"/>
              <w:right w:w="70" w:type="dxa"/>
            </w:tcMar>
            <w:vAlign w:val="center"/>
          </w:tcPr>
          <w:p w14:paraId="1FEFEE8B" w14:textId="77777777" w:rsidR="00F103F3" w:rsidRPr="006D06E6" w:rsidRDefault="00C53367" w:rsidP="001C6507">
            <w:pPr>
              <w:jc w:val="both"/>
              <w:rPr>
                <w:rFonts w:eastAsia="Times New Roman" w:cs="Times New Roman"/>
                <w:sz w:val="24"/>
                <w:szCs w:val="24"/>
              </w:rPr>
            </w:pPr>
            <w:r w:rsidRPr="006D06E6">
              <w:rPr>
                <w:rFonts w:eastAsia="Times New Roman"/>
                <w:sz w:val="24"/>
              </w:rPr>
              <w:t xml:space="preserve">Tiếp thu một phần. Dự thảo đã quy định mỗi dự án chỉ được hỗ trợ một lần ở mỗi giai đoạn; trung tâm ươm tạo không được đề nghị hỗ trợ, thanh toán đối với nội dung, khoản chi đã được ngân sách nhà nước hỗ trợ từ chương trình, nhiệm vụ hoặc chính sách khác và chịu trách nhiệm về hồ sơ dự án. Việc kiểm tra, xử lý hồ sơ không trung thực, dừng hoặc chấm dứt nhiệm vụ, thu hồi kinh phí và quản lý dữ liệu thực hiện theo pháp luật về quản lý nhiệm vụ, ngân sách nhà nước, hợp </w:t>
            </w:r>
            <w:r w:rsidRPr="006D06E6">
              <w:rPr>
                <w:rFonts w:eastAsia="Times New Roman"/>
                <w:sz w:val="24"/>
              </w:rPr>
              <w:lastRenderedPageBreak/>
              <w:t>đồng nhiệm vụ và hệ thống quản lý hiện hành; không thiết kế thêm một thủ tục xử lý riêng tại Nghị quyết.</w:t>
            </w:r>
          </w:p>
        </w:tc>
      </w:tr>
      <w:tr w:rsidR="006D06E6" w:rsidRPr="006D06E6" w14:paraId="4E545B4E" w14:textId="77777777" w:rsidTr="00B562A6">
        <w:tc>
          <w:tcPr>
            <w:tcW w:w="1900" w:type="dxa"/>
            <w:tcMar>
              <w:top w:w="55" w:type="dxa"/>
              <w:left w:w="70" w:type="dxa"/>
              <w:bottom w:w="55" w:type="dxa"/>
              <w:right w:w="70" w:type="dxa"/>
            </w:tcMar>
            <w:vAlign w:val="center"/>
          </w:tcPr>
          <w:p w14:paraId="3C22815B" w14:textId="77777777" w:rsidR="00EA5211" w:rsidRPr="006D06E6" w:rsidRDefault="00EA5211" w:rsidP="002A35C1">
            <w:pPr>
              <w:rPr>
                <w:rFonts w:cs="Times New Roman"/>
                <w:sz w:val="24"/>
                <w:szCs w:val="24"/>
              </w:rPr>
            </w:pPr>
            <w:r w:rsidRPr="006D06E6">
              <w:rPr>
                <w:rFonts w:eastAsia="Times New Roman"/>
                <w:sz w:val="24"/>
              </w:rPr>
              <w:lastRenderedPageBreak/>
              <w:t>Điều 5. Tiêu chí đối với dự án</w:t>
            </w:r>
          </w:p>
        </w:tc>
        <w:tc>
          <w:tcPr>
            <w:tcW w:w="1644" w:type="dxa"/>
            <w:tcMar>
              <w:top w:w="55" w:type="dxa"/>
              <w:left w:w="70" w:type="dxa"/>
              <w:bottom w:w="55" w:type="dxa"/>
              <w:right w:w="70" w:type="dxa"/>
            </w:tcMar>
            <w:vAlign w:val="center"/>
          </w:tcPr>
          <w:p w14:paraId="12C96511" w14:textId="77777777" w:rsidR="00EA5211" w:rsidRPr="006D06E6" w:rsidRDefault="000531BE" w:rsidP="002A35C1">
            <w:pPr>
              <w:jc w:val="center"/>
              <w:rPr>
                <w:rFonts w:eastAsia="Times New Roman" w:cs="Times New Roman"/>
                <w:b/>
                <w:bCs/>
                <w:sz w:val="24"/>
                <w:szCs w:val="24"/>
              </w:rPr>
            </w:pPr>
            <w:r w:rsidRPr="006D06E6">
              <w:rPr>
                <w:rFonts w:eastAsia="Times New Roman"/>
                <w:sz w:val="24"/>
              </w:rPr>
              <w:t>Ủy Ban Mặt trận Tổ Quốc Việt Nam</w:t>
            </w:r>
            <w:r w:rsidRPr="006D06E6">
              <w:rPr>
                <w:rFonts w:eastAsia="Times New Roman"/>
                <w:sz w:val="24"/>
              </w:rPr>
              <w:br/>
              <w:t>Công văn số 2181/MTTQ-BTT</w:t>
            </w:r>
          </w:p>
        </w:tc>
        <w:tc>
          <w:tcPr>
            <w:tcW w:w="5812" w:type="dxa"/>
            <w:tcMar>
              <w:top w:w="55" w:type="dxa"/>
              <w:left w:w="70" w:type="dxa"/>
              <w:bottom w:w="55" w:type="dxa"/>
              <w:right w:w="70" w:type="dxa"/>
            </w:tcMar>
            <w:vAlign w:val="center"/>
          </w:tcPr>
          <w:p w14:paraId="5336EAF5" w14:textId="77777777" w:rsidR="000531BE" w:rsidRPr="006D06E6" w:rsidRDefault="000531BE" w:rsidP="000531BE">
            <w:pPr>
              <w:jc w:val="both"/>
              <w:rPr>
                <w:b/>
                <w:bCs/>
                <w:sz w:val="24"/>
                <w:szCs w:val="24"/>
              </w:rPr>
            </w:pPr>
            <w:r w:rsidRPr="006D06E6">
              <w:rPr>
                <w:rFonts w:eastAsia="Times New Roman"/>
                <w:sz w:val="24"/>
              </w:rPr>
              <w:t>Đề nghị bổ sung và cụ thể hóa các tiêu chí định lượng rõ ràng đối với dự án khởi nghiệp sáng tạo được xét duyệt, như tính mới của công nghệ, khả năng xác lập và bảo hộ quyền sở hữu trí tuệ, tính khả thi thương mại hóa và giải quyết các vấn đề kinh tế - xã hội then chốt của Thành phố.</w:t>
            </w:r>
          </w:p>
        </w:tc>
        <w:tc>
          <w:tcPr>
            <w:tcW w:w="5953" w:type="dxa"/>
            <w:tcMar>
              <w:top w:w="55" w:type="dxa"/>
              <w:left w:w="70" w:type="dxa"/>
              <w:bottom w:w="55" w:type="dxa"/>
              <w:right w:w="70" w:type="dxa"/>
            </w:tcMar>
            <w:vAlign w:val="center"/>
          </w:tcPr>
          <w:p w14:paraId="7CE0922A" w14:textId="77777777" w:rsidR="00EA5211" w:rsidRPr="006D06E6" w:rsidRDefault="00EA5211" w:rsidP="00172BE6">
            <w:pPr>
              <w:jc w:val="both"/>
              <w:rPr>
                <w:sz w:val="24"/>
                <w:szCs w:val="24"/>
              </w:rPr>
            </w:pPr>
            <w:r w:rsidRPr="006D06E6">
              <w:rPr>
                <w:rFonts w:eastAsia="Times New Roman"/>
                <w:sz w:val="24"/>
              </w:rPr>
              <w:t>Tiếp thu một phần. Dự thảo đã quy định tiêu chí chung và kết quả đầu ra tối thiểu theo từng giai đoạn ý tưởng, kiểm chứng, tăng tốc. Không bổ sung một bộ ngưỡng định lượng cứng áp dụng cho mọi lĩnh vực do mức độ trưởng thành, mô hình kinh doanh và đặc thù công nghệ của dự án khác nhau; việc đánh giá thực hiện theo phương thức đạt/không đạt trên cơ sở tiêu chí tương ứng.</w:t>
            </w:r>
          </w:p>
        </w:tc>
      </w:tr>
      <w:tr w:rsidR="006D06E6" w:rsidRPr="006D06E6" w14:paraId="722EF551" w14:textId="77777777" w:rsidTr="00B562A6">
        <w:tc>
          <w:tcPr>
            <w:tcW w:w="1900" w:type="dxa"/>
            <w:tcMar>
              <w:top w:w="55" w:type="dxa"/>
              <w:left w:w="70" w:type="dxa"/>
              <w:bottom w:w="55" w:type="dxa"/>
              <w:right w:w="70" w:type="dxa"/>
            </w:tcMar>
            <w:vAlign w:val="center"/>
          </w:tcPr>
          <w:p w14:paraId="153F9788" w14:textId="77777777" w:rsidR="00EA5211" w:rsidRPr="006D06E6" w:rsidRDefault="00EA5211" w:rsidP="002A35C1">
            <w:pPr>
              <w:rPr>
                <w:rFonts w:cs="Times New Roman"/>
                <w:sz w:val="24"/>
                <w:szCs w:val="24"/>
              </w:rPr>
            </w:pPr>
            <w:r w:rsidRPr="006D06E6">
              <w:rPr>
                <w:rFonts w:eastAsia="Times New Roman"/>
                <w:sz w:val="24"/>
              </w:rPr>
              <w:t>Điều 3, Điều 4. Phân định các giai đoạn hỗ trợ</w:t>
            </w:r>
          </w:p>
        </w:tc>
        <w:tc>
          <w:tcPr>
            <w:tcW w:w="1644" w:type="dxa"/>
            <w:tcMar>
              <w:top w:w="55" w:type="dxa"/>
              <w:left w:w="70" w:type="dxa"/>
              <w:bottom w:w="55" w:type="dxa"/>
              <w:right w:w="70" w:type="dxa"/>
            </w:tcMar>
            <w:vAlign w:val="center"/>
          </w:tcPr>
          <w:p w14:paraId="43A4E7DD" w14:textId="77777777" w:rsidR="00EA5211" w:rsidRPr="006D06E6" w:rsidRDefault="00EA5211" w:rsidP="002A35C1">
            <w:pPr>
              <w:jc w:val="center"/>
              <w:rPr>
                <w:rFonts w:eastAsia="Times New Roman" w:cs="Times New Roman"/>
                <w:b/>
                <w:bCs/>
                <w:sz w:val="24"/>
                <w:szCs w:val="24"/>
              </w:rPr>
            </w:pPr>
          </w:p>
        </w:tc>
        <w:tc>
          <w:tcPr>
            <w:tcW w:w="5812" w:type="dxa"/>
            <w:tcMar>
              <w:top w:w="55" w:type="dxa"/>
              <w:left w:w="70" w:type="dxa"/>
              <w:bottom w:w="55" w:type="dxa"/>
              <w:right w:w="70" w:type="dxa"/>
            </w:tcMar>
            <w:vAlign w:val="center"/>
          </w:tcPr>
          <w:p w14:paraId="285FF09D" w14:textId="77777777" w:rsidR="000531BE" w:rsidRPr="006D06E6" w:rsidRDefault="000531BE" w:rsidP="000531BE">
            <w:pPr>
              <w:jc w:val="both"/>
              <w:rPr>
                <w:b/>
                <w:bCs/>
                <w:sz w:val="24"/>
                <w:szCs w:val="24"/>
              </w:rPr>
            </w:pPr>
            <w:r w:rsidRPr="006D06E6">
              <w:rPr>
                <w:rFonts w:eastAsia="Times New Roman"/>
                <w:sz w:val="24"/>
              </w:rPr>
              <w:t>Đề nghị làm rõ điều kiện áp dụng hỗ trợ giữa các giai đoạn để tránh trùng lặp đối với cá nhân, doanh nghiệp hoặc áp dụng chưa đúng mức kinh phí.</w:t>
            </w:r>
          </w:p>
        </w:tc>
        <w:tc>
          <w:tcPr>
            <w:tcW w:w="5953" w:type="dxa"/>
            <w:tcMar>
              <w:top w:w="55" w:type="dxa"/>
              <w:left w:w="70" w:type="dxa"/>
              <w:bottom w:w="55" w:type="dxa"/>
              <w:right w:w="70" w:type="dxa"/>
            </w:tcMar>
            <w:vAlign w:val="center"/>
          </w:tcPr>
          <w:p w14:paraId="039E7D06" w14:textId="77777777" w:rsidR="00EA5211" w:rsidRPr="006D06E6" w:rsidRDefault="00EA5211" w:rsidP="00172BE6">
            <w:pPr>
              <w:jc w:val="both"/>
              <w:rPr>
                <w:sz w:val="24"/>
                <w:szCs w:val="24"/>
              </w:rPr>
            </w:pPr>
            <w:r w:rsidRPr="006D06E6">
              <w:rPr>
                <w:rFonts w:eastAsia="Times New Roman"/>
                <w:sz w:val="24"/>
              </w:rPr>
              <w:t>Tiếp thu. Dự thảo đã làm rõ nội hàm và kết quả đầu ra của từng giai đoạn ý tưởng, kiểm chứng, tăng tốc; đồng thời quy định mỗi dự án chỉ được hỗ trợ một lần ở mỗi giai đoạn và trường hợp tại cùng thời điểm đáp ứng điều kiện của nhiều giai đoạn thì lựa chọn một giai đoạn phù hợp để đề nghị hỗ trợ.</w:t>
            </w:r>
          </w:p>
        </w:tc>
      </w:tr>
      <w:tr w:rsidR="006D06E6" w:rsidRPr="006D06E6" w14:paraId="37EA4531" w14:textId="77777777" w:rsidTr="00B562A6">
        <w:tc>
          <w:tcPr>
            <w:tcW w:w="1900" w:type="dxa"/>
            <w:tcMar>
              <w:top w:w="55" w:type="dxa"/>
              <w:left w:w="70" w:type="dxa"/>
              <w:bottom w:w="55" w:type="dxa"/>
              <w:right w:w="70" w:type="dxa"/>
            </w:tcMar>
            <w:vAlign w:val="center"/>
          </w:tcPr>
          <w:p w14:paraId="0E860FBA" w14:textId="77777777" w:rsidR="00EA5211" w:rsidRPr="006D06E6" w:rsidRDefault="00EA5211" w:rsidP="002A35C1">
            <w:pPr>
              <w:rPr>
                <w:rFonts w:cs="Times New Roman"/>
                <w:sz w:val="24"/>
                <w:szCs w:val="24"/>
              </w:rPr>
            </w:pPr>
            <w:r w:rsidRPr="006D06E6">
              <w:rPr>
                <w:rFonts w:eastAsia="Times New Roman"/>
                <w:sz w:val="24"/>
              </w:rPr>
              <w:t>Điều 7. Nội dung, mức hỗ trợ và căn cứ lập dự toán</w:t>
            </w:r>
          </w:p>
        </w:tc>
        <w:tc>
          <w:tcPr>
            <w:tcW w:w="1644" w:type="dxa"/>
            <w:tcMar>
              <w:top w:w="55" w:type="dxa"/>
              <w:left w:w="70" w:type="dxa"/>
              <w:bottom w:w="55" w:type="dxa"/>
              <w:right w:w="70" w:type="dxa"/>
            </w:tcMar>
            <w:vAlign w:val="center"/>
          </w:tcPr>
          <w:p w14:paraId="48160A3E" w14:textId="77777777" w:rsidR="00EA5211" w:rsidRPr="006D06E6" w:rsidRDefault="00EA5211" w:rsidP="002A35C1">
            <w:pPr>
              <w:jc w:val="center"/>
              <w:rPr>
                <w:rFonts w:eastAsia="Times New Roman" w:cs="Times New Roman"/>
                <w:b/>
                <w:bCs/>
                <w:sz w:val="24"/>
                <w:szCs w:val="24"/>
              </w:rPr>
            </w:pPr>
          </w:p>
        </w:tc>
        <w:tc>
          <w:tcPr>
            <w:tcW w:w="5812" w:type="dxa"/>
            <w:tcMar>
              <w:top w:w="55" w:type="dxa"/>
              <w:left w:w="70" w:type="dxa"/>
              <w:bottom w:w="55" w:type="dxa"/>
              <w:right w:w="70" w:type="dxa"/>
            </w:tcMar>
            <w:vAlign w:val="center"/>
          </w:tcPr>
          <w:p w14:paraId="1093C4CB" w14:textId="77777777" w:rsidR="000531BE" w:rsidRPr="006D06E6" w:rsidRDefault="000531BE" w:rsidP="000531BE">
            <w:pPr>
              <w:jc w:val="both"/>
              <w:rPr>
                <w:b/>
                <w:bCs/>
                <w:sz w:val="24"/>
                <w:szCs w:val="24"/>
              </w:rPr>
            </w:pPr>
            <w:r w:rsidRPr="006D06E6">
              <w:rPr>
                <w:rFonts w:eastAsia="Times New Roman"/>
                <w:sz w:val="24"/>
              </w:rPr>
              <w:t>Đề nghị quy định rõ trần mức hỗ trợ tối đa không hoàn lại cho từng dự án và căn cứ áp dụng định mức chi chi tiết nhằm tạo thuận lợi cho việc lập dự toán, thẩm định và quyết toán kinh phí.</w:t>
            </w:r>
          </w:p>
        </w:tc>
        <w:tc>
          <w:tcPr>
            <w:tcW w:w="5953" w:type="dxa"/>
            <w:tcMar>
              <w:top w:w="55" w:type="dxa"/>
              <w:left w:w="70" w:type="dxa"/>
              <w:bottom w:w="55" w:type="dxa"/>
              <w:right w:w="70" w:type="dxa"/>
            </w:tcMar>
            <w:vAlign w:val="center"/>
          </w:tcPr>
          <w:p w14:paraId="0FF1522D" w14:textId="77777777" w:rsidR="00EA5211" w:rsidRPr="006D06E6" w:rsidRDefault="00EA5211" w:rsidP="00172BE6">
            <w:pPr>
              <w:jc w:val="both"/>
              <w:rPr>
                <w:sz w:val="24"/>
                <w:szCs w:val="24"/>
              </w:rPr>
            </w:pPr>
            <w:r w:rsidRPr="006D06E6">
              <w:rPr>
                <w:rFonts w:eastAsia="Times New Roman"/>
                <w:sz w:val="24"/>
              </w:rPr>
              <w:t>Tiếp thu một phần. Điều 7 đã quy định cụ thể mức hỗ trợ 50 triệu đồng, 100 triệu đồng và 500 triệu đồng/dự án tương ứng với từng giai đoạn và cơ cấu nhóm chi. Việc lập, thẩm định dự toán, quản lý, sử dụng và quyết toán kinh phí thực hiện theo pháp luật tài chính đối với nhiệm vụ khoa học, công nghệ và đổi mới sáng tạo sử dụng ngân sách nhà nước và quy định của Thành phố đối với các nội dung Nghị quyết không quy định cụ thể.</w:t>
            </w:r>
          </w:p>
        </w:tc>
      </w:tr>
      <w:tr w:rsidR="006D06E6" w:rsidRPr="006D06E6" w14:paraId="3B7CF6A6" w14:textId="77777777" w:rsidTr="00B562A6">
        <w:tc>
          <w:tcPr>
            <w:tcW w:w="1900" w:type="dxa"/>
            <w:tcMar>
              <w:top w:w="55" w:type="dxa"/>
              <w:left w:w="70" w:type="dxa"/>
              <w:bottom w:w="55" w:type="dxa"/>
              <w:right w:w="70" w:type="dxa"/>
            </w:tcMar>
            <w:vAlign w:val="center"/>
          </w:tcPr>
          <w:p w14:paraId="316D2F29" w14:textId="77777777" w:rsidR="00EA5211" w:rsidRPr="006D06E6" w:rsidRDefault="00EA5211" w:rsidP="002A35C1">
            <w:pPr>
              <w:rPr>
                <w:rFonts w:cs="Times New Roman"/>
                <w:sz w:val="24"/>
                <w:szCs w:val="24"/>
              </w:rPr>
            </w:pPr>
            <w:r w:rsidRPr="006D06E6">
              <w:rPr>
                <w:rFonts w:eastAsia="Times New Roman"/>
                <w:sz w:val="24"/>
              </w:rPr>
              <w:t>Điều 8. Tiếp nhận, xử lý hồ sơ bằng phương thức điện tử</w:t>
            </w:r>
          </w:p>
        </w:tc>
        <w:tc>
          <w:tcPr>
            <w:tcW w:w="1644" w:type="dxa"/>
            <w:tcMar>
              <w:top w:w="55" w:type="dxa"/>
              <w:left w:w="70" w:type="dxa"/>
              <w:bottom w:w="55" w:type="dxa"/>
              <w:right w:w="70" w:type="dxa"/>
            </w:tcMar>
            <w:vAlign w:val="center"/>
          </w:tcPr>
          <w:p w14:paraId="44B700E0" w14:textId="77777777" w:rsidR="00EA5211" w:rsidRPr="006D06E6" w:rsidRDefault="00EA5211" w:rsidP="002A35C1">
            <w:pPr>
              <w:jc w:val="center"/>
              <w:rPr>
                <w:rFonts w:eastAsia="Times New Roman" w:cs="Times New Roman"/>
                <w:b/>
                <w:bCs/>
                <w:sz w:val="24"/>
                <w:szCs w:val="24"/>
              </w:rPr>
            </w:pPr>
          </w:p>
        </w:tc>
        <w:tc>
          <w:tcPr>
            <w:tcW w:w="5812" w:type="dxa"/>
            <w:tcMar>
              <w:top w:w="55" w:type="dxa"/>
              <w:left w:w="70" w:type="dxa"/>
              <w:bottom w:w="55" w:type="dxa"/>
              <w:right w:w="70" w:type="dxa"/>
            </w:tcMar>
            <w:vAlign w:val="center"/>
          </w:tcPr>
          <w:p w14:paraId="3BA96811" w14:textId="77777777" w:rsidR="000531BE" w:rsidRPr="006D06E6" w:rsidRDefault="000531BE" w:rsidP="000531BE">
            <w:pPr>
              <w:jc w:val="both"/>
              <w:rPr>
                <w:b/>
                <w:bCs/>
                <w:sz w:val="24"/>
                <w:szCs w:val="24"/>
              </w:rPr>
            </w:pPr>
            <w:r w:rsidRPr="006D06E6">
              <w:rPr>
                <w:rFonts w:eastAsia="Times New Roman"/>
                <w:sz w:val="24"/>
              </w:rPr>
              <w:t>Đề nghị bổ sung quy định cho phép tiếp nhận hồ sơ trực tuyến qua Hệ thống thông tin giải quyết thủ tục hành chính của Thành phố để đẩy mạnh chuyển đổi số và tạo điều kiện thuận lợi cho doanh nghiệp, cá nhân thụ hưởng.</w:t>
            </w:r>
          </w:p>
        </w:tc>
        <w:tc>
          <w:tcPr>
            <w:tcW w:w="5953" w:type="dxa"/>
            <w:tcMar>
              <w:top w:w="55" w:type="dxa"/>
              <w:left w:w="70" w:type="dxa"/>
              <w:bottom w:w="55" w:type="dxa"/>
              <w:right w:w="70" w:type="dxa"/>
            </w:tcMar>
            <w:vAlign w:val="center"/>
          </w:tcPr>
          <w:p w14:paraId="6D0A3415" w14:textId="77777777" w:rsidR="00EA5211" w:rsidRPr="006D06E6" w:rsidRDefault="00EA5211" w:rsidP="00172BE6">
            <w:pPr>
              <w:jc w:val="both"/>
              <w:rPr>
                <w:sz w:val="24"/>
                <w:szCs w:val="24"/>
              </w:rPr>
            </w:pPr>
            <w:r w:rsidRPr="006D06E6">
              <w:rPr>
                <w:rFonts w:eastAsia="Times New Roman"/>
                <w:sz w:val="24"/>
              </w:rPr>
              <w:t xml:space="preserve">Giải trình. Cá nhân, nhóm cá nhân, doanh nghiệp có dự án tham gia tuyển chọn tại trung tâm ươm tạo và không thực hiện thủ tục hành chính riêng với cơ quan nhà nước. Hồ sơ đăng ký nhiệm vụ do trung tâm ươm tạo thực hiện, được tiếp nhận và xử lý theo thủ tục, quy trình điện tử hiện hành của </w:t>
            </w:r>
            <w:r w:rsidRPr="006D06E6">
              <w:rPr>
                <w:rFonts w:eastAsia="Times New Roman"/>
                <w:sz w:val="24"/>
              </w:rPr>
              <w:lastRenderedPageBreak/>
              <w:t>Thành phố; vì vậy dự thảo không quy định thêm một phương thức tiếp nhận riêng.</w:t>
            </w:r>
          </w:p>
        </w:tc>
      </w:tr>
      <w:tr w:rsidR="006D06E6" w:rsidRPr="006D06E6" w14:paraId="277A6A85" w14:textId="77777777" w:rsidTr="00B562A6">
        <w:tc>
          <w:tcPr>
            <w:tcW w:w="1900" w:type="dxa"/>
            <w:tcMar>
              <w:top w:w="55" w:type="dxa"/>
              <w:left w:w="70" w:type="dxa"/>
              <w:bottom w:w="55" w:type="dxa"/>
              <w:right w:w="70" w:type="dxa"/>
            </w:tcMar>
            <w:vAlign w:val="center"/>
          </w:tcPr>
          <w:p w14:paraId="440F233C" w14:textId="77777777" w:rsidR="00EA5211" w:rsidRPr="006D06E6" w:rsidRDefault="00EA5211" w:rsidP="002A35C1">
            <w:pPr>
              <w:rPr>
                <w:rFonts w:cs="Times New Roman"/>
                <w:sz w:val="24"/>
                <w:szCs w:val="24"/>
              </w:rPr>
            </w:pPr>
            <w:r w:rsidRPr="006D06E6">
              <w:rPr>
                <w:rFonts w:eastAsia="Times New Roman"/>
                <w:sz w:val="24"/>
              </w:rPr>
              <w:lastRenderedPageBreak/>
              <w:t>Điều 10. Tuyên truyền, phối hợp và giám sát</w:t>
            </w:r>
          </w:p>
        </w:tc>
        <w:tc>
          <w:tcPr>
            <w:tcW w:w="1644" w:type="dxa"/>
            <w:tcMar>
              <w:top w:w="55" w:type="dxa"/>
              <w:left w:w="70" w:type="dxa"/>
              <w:bottom w:w="55" w:type="dxa"/>
              <w:right w:w="70" w:type="dxa"/>
            </w:tcMar>
            <w:vAlign w:val="center"/>
          </w:tcPr>
          <w:p w14:paraId="13C781FA" w14:textId="77777777" w:rsidR="00EA5211" w:rsidRPr="006D06E6" w:rsidRDefault="00EA5211" w:rsidP="002A35C1">
            <w:pPr>
              <w:jc w:val="center"/>
              <w:rPr>
                <w:rFonts w:eastAsia="Times New Roman" w:cs="Times New Roman"/>
                <w:b/>
                <w:bCs/>
                <w:sz w:val="24"/>
                <w:szCs w:val="24"/>
              </w:rPr>
            </w:pPr>
          </w:p>
        </w:tc>
        <w:tc>
          <w:tcPr>
            <w:tcW w:w="5812" w:type="dxa"/>
            <w:tcMar>
              <w:top w:w="55" w:type="dxa"/>
              <w:left w:w="70" w:type="dxa"/>
              <w:bottom w:w="55" w:type="dxa"/>
              <w:right w:w="70" w:type="dxa"/>
            </w:tcMar>
            <w:vAlign w:val="center"/>
          </w:tcPr>
          <w:p w14:paraId="67D20ABE" w14:textId="77777777" w:rsidR="000531BE" w:rsidRPr="006D06E6" w:rsidRDefault="000531BE" w:rsidP="000531BE">
            <w:pPr>
              <w:jc w:val="both"/>
              <w:rPr>
                <w:b/>
                <w:bCs/>
                <w:sz w:val="24"/>
                <w:szCs w:val="24"/>
              </w:rPr>
            </w:pPr>
            <w:r w:rsidRPr="006D06E6">
              <w:rPr>
                <w:rFonts w:eastAsia="Times New Roman"/>
                <w:sz w:val="24"/>
              </w:rPr>
              <w:t>Đề nghị bổ sung hoặc làm rõ trách nhiệm phối hợp của các cơ quan chuyên môn với Ủy ban Mặt trận Tổ quốc Việt Nam Thành phố và các tổ chức chính trị - xã hội trong tuyên truyền, công khai minh bạch thông tin chính sách và tham gia giám sát việc quản lý, sử dụng ngân sách hỗ trợ ươm tạo.</w:t>
            </w:r>
          </w:p>
        </w:tc>
        <w:tc>
          <w:tcPr>
            <w:tcW w:w="5953" w:type="dxa"/>
            <w:tcMar>
              <w:top w:w="55" w:type="dxa"/>
              <w:left w:w="70" w:type="dxa"/>
              <w:bottom w:w="55" w:type="dxa"/>
              <w:right w:w="70" w:type="dxa"/>
            </w:tcMar>
            <w:vAlign w:val="center"/>
          </w:tcPr>
          <w:p w14:paraId="7FF2FA54" w14:textId="77777777" w:rsidR="00EA5211" w:rsidRPr="006D06E6" w:rsidRDefault="00EA5211" w:rsidP="00172BE6">
            <w:pPr>
              <w:jc w:val="both"/>
              <w:rPr>
                <w:sz w:val="24"/>
                <w:szCs w:val="24"/>
              </w:rPr>
            </w:pPr>
            <w:r w:rsidRPr="006D06E6">
              <w:rPr>
                <w:rFonts w:eastAsia="Times New Roman"/>
                <w:sz w:val="24"/>
              </w:rPr>
              <w:t>Ghi nhận. Dự thảo đã xác định nguyên tắc công khai, minh bạch trong thực hiện chính sách. Hoạt động tuyên truyền, phối hợp và giám sát của Ủy ban Mặt trận Tổ quốc Việt Nam Thành phố và các tổ chức có liên quan được thực hiện theo chức năng, nhiệm vụ và pháp luật hiện hành; cơ quan soạn thảo không quy định lặp lại trách nhiệm đã được pháp luật quy định.</w:t>
            </w:r>
          </w:p>
        </w:tc>
      </w:tr>
      <w:tr w:rsidR="006D06E6" w:rsidRPr="006D06E6" w14:paraId="03DD247A" w14:textId="77777777" w:rsidTr="00B562A6">
        <w:tc>
          <w:tcPr>
            <w:tcW w:w="1900" w:type="dxa"/>
            <w:tcMar>
              <w:top w:w="55" w:type="dxa"/>
              <w:left w:w="70" w:type="dxa"/>
              <w:bottom w:w="55" w:type="dxa"/>
              <w:right w:w="70" w:type="dxa"/>
            </w:tcMar>
          </w:tcPr>
          <w:p w14:paraId="1E55297D" w14:textId="77777777" w:rsidR="002A35C1" w:rsidRPr="006D06E6" w:rsidRDefault="002A35C1" w:rsidP="002A35C1">
            <w:pPr>
              <w:jc w:val="both"/>
              <w:rPr>
                <w:rFonts w:cs="Times New Roman"/>
                <w:sz w:val="24"/>
                <w:szCs w:val="24"/>
              </w:rPr>
            </w:pPr>
          </w:p>
        </w:tc>
        <w:tc>
          <w:tcPr>
            <w:tcW w:w="1644" w:type="dxa"/>
            <w:tcMar>
              <w:top w:w="55" w:type="dxa"/>
              <w:left w:w="70" w:type="dxa"/>
              <w:bottom w:w="55" w:type="dxa"/>
              <w:right w:w="70" w:type="dxa"/>
            </w:tcMar>
          </w:tcPr>
          <w:p w14:paraId="44256A97" w14:textId="77777777" w:rsidR="002A35C1" w:rsidRPr="006D06E6" w:rsidRDefault="002A35C1" w:rsidP="002A35C1">
            <w:pPr>
              <w:jc w:val="center"/>
              <w:rPr>
                <w:rFonts w:cs="Times New Roman"/>
                <w:sz w:val="24"/>
                <w:szCs w:val="24"/>
              </w:rPr>
            </w:pPr>
            <w:r w:rsidRPr="006D06E6">
              <w:rPr>
                <w:rFonts w:eastAsia="Times New Roman" w:cs="Times New Roman"/>
                <w:sz w:val="24"/>
                <w:szCs w:val="24"/>
              </w:rPr>
              <w:t xml:space="preserve">Sở Nội vụ, Công văn số </w:t>
            </w:r>
          </w:p>
        </w:tc>
        <w:tc>
          <w:tcPr>
            <w:tcW w:w="5812" w:type="dxa"/>
            <w:tcMar>
              <w:top w:w="55" w:type="dxa"/>
              <w:left w:w="70" w:type="dxa"/>
              <w:bottom w:w="55" w:type="dxa"/>
              <w:right w:w="70" w:type="dxa"/>
            </w:tcMar>
          </w:tcPr>
          <w:p w14:paraId="6A76F5F3" w14:textId="77777777" w:rsidR="00EE7544" w:rsidRPr="006D06E6" w:rsidRDefault="001973FD">
            <w:pPr>
              <w:jc w:val="both"/>
              <w:rPr>
                <w:sz w:val="24"/>
                <w:szCs w:val="24"/>
              </w:rPr>
            </w:pPr>
            <w:r w:rsidRPr="006D06E6">
              <w:rPr>
                <w:sz w:val="24"/>
                <w:szCs w:val="24"/>
              </w:rPr>
              <w:t>Lần 2: không có ý kiến góp ý bổ sung. Tại lần lấy ý kiến thứ nhất, Sở Nội vụ đã có phản hồi và không có ý kiến góp ý đối với hồ sơ dự thảo.</w:t>
            </w:r>
          </w:p>
        </w:tc>
        <w:tc>
          <w:tcPr>
            <w:tcW w:w="5953" w:type="dxa"/>
            <w:tcMar>
              <w:top w:w="55" w:type="dxa"/>
              <w:left w:w="70" w:type="dxa"/>
              <w:bottom w:w="55" w:type="dxa"/>
              <w:right w:w="70" w:type="dxa"/>
            </w:tcMar>
          </w:tcPr>
          <w:p w14:paraId="70C655F9" w14:textId="77777777" w:rsidR="00EE7544" w:rsidRPr="006D06E6" w:rsidRDefault="001973FD">
            <w:pPr>
              <w:jc w:val="both"/>
              <w:rPr>
                <w:rFonts w:cs="Times New Roman"/>
                <w:sz w:val="24"/>
                <w:szCs w:val="24"/>
              </w:rPr>
            </w:pPr>
            <w:r w:rsidRPr="006D06E6">
              <w:rPr>
                <w:sz w:val="24"/>
                <w:szCs w:val="24"/>
              </w:rPr>
              <w:t>Sở Khoa học và Công nghệ ghi nhận. Hồ sơ lần 1 đã được rà soát về nội dung phân cấp, thực hiện nhiệm vụ, quyền hạn được phân cấp và nguồn nhân lực; lần 2 Sở Nội vụ không có ý kiến góp ý bổ sung nên không phát sinh nội dung tiếp thu, chỉnh lý thêm.</w:t>
            </w:r>
          </w:p>
        </w:tc>
      </w:tr>
      <w:tr w:rsidR="006D06E6" w:rsidRPr="006D06E6" w14:paraId="4BCBE24C" w14:textId="77777777" w:rsidTr="00B562A6">
        <w:tc>
          <w:tcPr>
            <w:tcW w:w="1900" w:type="dxa"/>
            <w:tcMar>
              <w:top w:w="55" w:type="dxa"/>
              <w:left w:w="70" w:type="dxa"/>
              <w:bottom w:w="55" w:type="dxa"/>
              <w:right w:w="70" w:type="dxa"/>
            </w:tcMar>
          </w:tcPr>
          <w:p w14:paraId="55CD08E7" w14:textId="77777777" w:rsidR="002A35C1" w:rsidRPr="006D06E6" w:rsidRDefault="002A35C1" w:rsidP="002A35C1">
            <w:pPr>
              <w:jc w:val="both"/>
              <w:rPr>
                <w:rFonts w:cs="Times New Roman"/>
                <w:sz w:val="24"/>
                <w:szCs w:val="24"/>
              </w:rPr>
            </w:pPr>
            <w:r w:rsidRPr="006D06E6">
              <w:rPr>
                <w:sz w:val="24"/>
                <w:szCs w:val="24"/>
              </w:rPr>
              <w:t>Mức hỗ trợ, nguồn kinh phí và nguồn lực bảo đảm thực hiện</w:t>
            </w:r>
          </w:p>
        </w:tc>
        <w:tc>
          <w:tcPr>
            <w:tcW w:w="1644" w:type="dxa"/>
            <w:tcMar>
              <w:top w:w="55" w:type="dxa"/>
              <w:left w:w="70" w:type="dxa"/>
              <w:bottom w:w="55" w:type="dxa"/>
              <w:right w:w="70" w:type="dxa"/>
            </w:tcMar>
          </w:tcPr>
          <w:p w14:paraId="35DB62AE" w14:textId="77777777" w:rsidR="002A35C1" w:rsidRPr="006D06E6" w:rsidRDefault="002A35C1" w:rsidP="002A35C1">
            <w:pPr>
              <w:jc w:val="center"/>
              <w:rPr>
                <w:rFonts w:cs="Times New Roman"/>
                <w:sz w:val="24"/>
                <w:szCs w:val="24"/>
              </w:rPr>
            </w:pPr>
            <w:r w:rsidRPr="006D06E6">
              <w:rPr>
                <w:rFonts w:eastAsia="Times New Roman" w:cs="Times New Roman"/>
                <w:sz w:val="24"/>
                <w:szCs w:val="24"/>
              </w:rPr>
              <w:t>Sở Tài chính</w:t>
            </w:r>
          </w:p>
        </w:tc>
        <w:tc>
          <w:tcPr>
            <w:tcW w:w="5812" w:type="dxa"/>
            <w:tcMar>
              <w:top w:w="55" w:type="dxa"/>
              <w:left w:w="70" w:type="dxa"/>
              <w:bottom w:w="55" w:type="dxa"/>
              <w:right w:w="70" w:type="dxa"/>
            </w:tcMar>
          </w:tcPr>
          <w:p w14:paraId="3C65821B" w14:textId="77777777" w:rsidR="00EE7544" w:rsidRPr="006D06E6" w:rsidRDefault="001973FD">
            <w:pPr>
              <w:jc w:val="both"/>
              <w:rPr>
                <w:sz w:val="24"/>
                <w:szCs w:val="24"/>
              </w:rPr>
            </w:pPr>
            <w:r w:rsidRPr="006D06E6">
              <w:rPr>
                <w:sz w:val="24"/>
                <w:szCs w:val="24"/>
              </w:rPr>
              <w:t>Lần 2: không có ý kiến góp ý bổ sung. Tại lần lấy ý kiến thứ nhất, Sở Tài chính đã góp ý về cơ sở xác định mức hỗ trợ; nguồn kinh phí, dự kiến nguồn lực tài chính và khả năng cân đối ngân sách; đồng thời có ý kiến đối với nội dung bảo đảm điều kiện thi hành.</w:t>
            </w:r>
          </w:p>
        </w:tc>
        <w:tc>
          <w:tcPr>
            <w:tcW w:w="5953" w:type="dxa"/>
            <w:tcMar>
              <w:top w:w="55" w:type="dxa"/>
              <w:left w:w="70" w:type="dxa"/>
              <w:bottom w:w="55" w:type="dxa"/>
              <w:right w:w="70" w:type="dxa"/>
            </w:tcMar>
          </w:tcPr>
          <w:p w14:paraId="1D3D17EF" w14:textId="77777777" w:rsidR="00EE7544" w:rsidRPr="006D06E6" w:rsidRDefault="001973FD">
            <w:pPr>
              <w:jc w:val="both"/>
              <w:rPr>
                <w:rFonts w:cs="Times New Roman"/>
                <w:sz w:val="24"/>
                <w:szCs w:val="24"/>
              </w:rPr>
            </w:pPr>
            <w:r w:rsidRPr="006D06E6">
              <w:rPr>
                <w:sz w:val="24"/>
                <w:szCs w:val="24"/>
              </w:rPr>
              <w:t>Các ý kiến của Sở Tài chính tại lần 1 đã được cơ quan soạn thảo tiếp thu, chỉnh lý hoặc giải trình trong hồ sơ lần 1 và hồ sơ hiện nay: bổ sung cơ sở đề xuất mức hỗ trợ; xác định nhu cầu dự kiến 60 tỷ đồng/năm theo phương án triển khai đầy đủ, tăng 12 tỷ đồng so với mức hiện hành; xác định nguồn chi thường xuyên của ngân sách Thành phố cho sự nghiệp khoa học, công nghệ, đổi mới sáng tạo và chuyển đổi số trong phạm vi dự toán được giao; rà soát nội dung bảo đảm điều kiện thi hành. Lần 2 không phát sinh ý kiến góp ý bổ sung.</w:t>
            </w:r>
          </w:p>
        </w:tc>
      </w:tr>
      <w:tr w:rsidR="006D06E6" w:rsidRPr="006D06E6" w14:paraId="38F5E0AA" w14:textId="77777777" w:rsidTr="00B562A6">
        <w:tc>
          <w:tcPr>
            <w:tcW w:w="1900" w:type="dxa"/>
            <w:tcMar>
              <w:top w:w="55" w:type="dxa"/>
              <w:left w:w="70" w:type="dxa"/>
              <w:bottom w:w="55" w:type="dxa"/>
              <w:right w:w="70" w:type="dxa"/>
            </w:tcMar>
          </w:tcPr>
          <w:p w14:paraId="67B55978" w14:textId="77777777" w:rsidR="00321436" w:rsidRPr="006D06E6" w:rsidRDefault="00321436"/>
        </w:tc>
        <w:tc>
          <w:tcPr>
            <w:tcW w:w="1644" w:type="dxa"/>
            <w:vMerge w:val="restart"/>
            <w:tcMar>
              <w:top w:w="55" w:type="dxa"/>
              <w:left w:w="70" w:type="dxa"/>
              <w:bottom w:w="55" w:type="dxa"/>
              <w:right w:w="70" w:type="dxa"/>
            </w:tcMar>
          </w:tcPr>
          <w:p w14:paraId="333644F5" w14:textId="77777777" w:rsidR="00321436" w:rsidRPr="006D06E6" w:rsidRDefault="00F3794D">
            <w:r w:rsidRPr="006D06E6">
              <w:rPr>
                <w:sz w:val="24"/>
              </w:rPr>
              <w:t>Sở Tư pháp,</w:t>
            </w:r>
            <w:r w:rsidRPr="006D06E6">
              <w:rPr>
                <w:sz w:val="24"/>
              </w:rPr>
              <w:br/>
              <w:t>Công văn số 11576/STP-VB</w:t>
            </w:r>
            <w:r w:rsidRPr="006D06E6">
              <w:rPr>
                <w:sz w:val="24"/>
              </w:rPr>
              <w:br/>
              <w:t>ngày 09 tháng 9 năm 2026</w:t>
            </w:r>
          </w:p>
        </w:tc>
        <w:tc>
          <w:tcPr>
            <w:tcW w:w="5812" w:type="dxa"/>
            <w:tcMar>
              <w:top w:w="55" w:type="dxa"/>
              <w:left w:w="70" w:type="dxa"/>
              <w:bottom w:w="55" w:type="dxa"/>
              <w:right w:w="70" w:type="dxa"/>
            </w:tcMar>
          </w:tcPr>
          <w:p w14:paraId="44004837"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1. Về cơ sở pháp lý và thẩm quyền ban hành </w:t>
            </w:r>
          </w:p>
          <w:p w14:paraId="59DF3E52"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Ngày 24/8/2026 Quốc hội khóa XVI thông qua Luật Phát triển đô thị số 18/2026/QH16 (có hiệu lực từ 01/10/2026); trong đó, tại </w:t>
            </w:r>
          </w:p>
          <w:p w14:paraId="6466AF8C"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lastRenderedPageBreak/>
              <w:t xml:space="preserve">“Điều 30. Phát triển khoa học, công nghệ, đổi mới sáng tạo và chuyển đổi số </w:t>
            </w:r>
          </w:p>
          <w:p w14:paraId="52696CF1"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2. </w:t>
            </w:r>
            <w:r w:rsidRPr="006D06E6">
              <w:rPr>
                <w:rFonts w:cs="Times New Roman"/>
                <w:b/>
                <w:bCs/>
                <w:i/>
                <w:iCs/>
                <w:spacing w:val="-4"/>
                <w:sz w:val="24"/>
                <w:szCs w:val="24"/>
              </w:rPr>
              <w:t>Hội đồng nhân dân Thành phố</w:t>
            </w:r>
            <w:r w:rsidRPr="006D06E6">
              <w:rPr>
                <w:rFonts w:cs="Times New Roman"/>
                <w:i/>
                <w:iCs/>
                <w:spacing w:val="-4"/>
                <w:sz w:val="24"/>
                <w:szCs w:val="24"/>
              </w:rPr>
              <w:t xml:space="preserve"> quy định: h) </w:t>
            </w:r>
            <w:r w:rsidRPr="006D06E6">
              <w:rPr>
                <w:rFonts w:cs="Times New Roman"/>
                <w:i/>
                <w:iCs/>
                <w:spacing w:val="-4"/>
                <w:sz w:val="24"/>
                <w:szCs w:val="24"/>
                <w:u w:val="single"/>
              </w:rPr>
              <w:t>Lĩnh vực, tiêu chí, điều kiện, trình tự, thủ tục, nội dung, mức hỗ trợ</w:t>
            </w:r>
            <w:r w:rsidRPr="006D06E6">
              <w:rPr>
                <w:rFonts w:cs="Times New Roman"/>
                <w:i/>
                <w:iCs/>
                <w:spacing w:val="-4"/>
                <w:sz w:val="24"/>
                <w:szCs w:val="24"/>
              </w:rPr>
              <w:t xml:space="preserve"> </w:t>
            </w:r>
            <w:r w:rsidRPr="006D06E6">
              <w:rPr>
                <w:rFonts w:cs="Times New Roman"/>
                <w:i/>
                <w:iCs/>
                <w:spacing w:val="-4"/>
                <w:sz w:val="24"/>
                <w:szCs w:val="24"/>
                <w:u w:val="single"/>
              </w:rPr>
              <w:t>không hoàn lại từ nguồn chi thường xuyên của ngân sách Thành phố cho chi phí</w:t>
            </w:r>
            <w:r w:rsidRPr="006D06E6">
              <w:rPr>
                <w:rFonts w:cs="Times New Roman"/>
                <w:i/>
                <w:iCs/>
                <w:spacing w:val="-4"/>
                <w:sz w:val="24"/>
                <w:szCs w:val="24"/>
              </w:rPr>
              <w:t xml:space="preserve"> </w:t>
            </w:r>
            <w:r w:rsidRPr="006D06E6">
              <w:rPr>
                <w:rFonts w:cs="Times New Roman"/>
                <w:i/>
                <w:iCs/>
                <w:spacing w:val="-4"/>
                <w:sz w:val="24"/>
                <w:szCs w:val="24"/>
                <w:u w:val="single"/>
              </w:rPr>
              <w:t>ươm tạo dự án khởi nghiệp sáng tạo</w:t>
            </w:r>
            <w:r w:rsidRPr="006D06E6">
              <w:rPr>
                <w:rFonts w:cs="Times New Roman"/>
                <w:i/>
                <w:iCs/>
                <w:spacing w:val="-4"/>
                <w:sz w:val="24"/>
                <w:szCs w:val="24"/>
              </w:rPr>
              <w:t xml:space="preserve">, bao gồm chi phí tổ chức hoạt động tuyển chọn dự án; chi phí thuê chuyên gia; tiền công lao động trực tiếp; chi phí dịch vụ hỗ trợ đổi mới sáng tạo và khởi nghiệp sáng tạo; chi phí sử dụng cơ sở kỹ thuật, cơ sở ươm tạo, trung tâm đổi mới sáng tạo, trung tâm hỗ trợ khởi nghiệp sáng tạo, khu làm việc chung;” </w:t>
            </w:r>
          </w:p>
          <w:p w14:paraId="318546A6"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Vì vậy, Sở Tư pháp nhận thấy việc Sở Khoa học và Công nghệ tham mưu, đề xuất Ủy ban nhân dân Thành phố trình Hội đồng nhân dân Thành phố xem xét, ban hành Nghị quyết quy định lĩnh vực, tiêu chí, điều kiện, trình tự, thủ tục, nội dung và mức hỗ trợ không hoàn lại từ ngân sách Thành phố để ươm tạo dự án khởi nghiệp sáng tạo trên địa bàn Thành phố Hồ Chí Minh là có cơ sở pháp lý và phù hợp thẩm quyền. </w:t>
            </w:r>
          </w:p>
        </w:tc>
        <w:tc>
          <w:tcPr>
            <w:tcW w:w="5953" w:type="dxa"/>
            <w:tcMar>
              <w:top w:w="55" w:type="dxa"/>
              <w:left w:w="70" w:type="dxa"/>
              <w:bottom w:w="55" w:type="dxa"/>
              <w:right w:w="70" w:type="dxa"/>
            </w:tcMar>
          </w:tcPr>
          <w:p w14:paraId="60F413C3" w14:textId="77777777" w:rsidR="00321436" w:rsidRPr="006D06E6" w:rsidRDefault="00F3794D">
            <w:pPr>
              <w:jc w:val="both"/>
            </w:pPr>
            <w:r w:rsidRPr="006D06E6">
              <w:rPr>
                <w:b/>
                <w:sz w:val="24"/>
              </w:rPr>
              <w:lastRenderedPageBreak/>
              <w:t>Tiếp thu.</w:t>
            </w:r>
          </w:p>
          <w:p w14:paraId="0EA7084B" w14:textId="77777777" w:rsidR="00321436" w:rsidRPr="006D06E6" w:rsidRDefault="00F3794D">
            <w:pPr>
              <w:jc w:val="both"/>
            </w:pPr>
            <w:r w:rsidRPr="006D06E6">
              <w:rPr>
                <w:sz w:val="24"/>
              </w:rPr>
              <w:t>Dự thảo Nghị quyết và toàn bộ hồ sơ đã được rà soát, chỉnh lý thống nhất theo đúng điểm h khoản 2 Điều 30 Luật Phát triển đô thị; tên Nghị quyết, Điều 1 và các tài liệu kèm theo sử dụng thống nhất cụm từ “hỗ trợ không hoàn lại từ nguồn chi thường xuyên của ngân sách Thành phố”.</w:t>
            </w:r>
          </w:p>
        </w:tc>
      </w:tr>
      <w:tr w:rsidR="006D06E6" w:rsidRPr="006D06E6" w14:paraId="4C78A7CA" w14:textId="77777777" w:rsidTr="00B562A6">
        <w:tc>
          <w:tcPr>
            <w:tcW w:w="1900" w:type="dxa"/>
            <w:tcMar>
              <w:top w:w="55" w:type="dxa"/>
              <w:left w:w="70" w:type="dxa"/>
              <w:bottom w:w="55" w:type="dxa"/>
              <w:right w:w="70" w:type="dxa"/>
            </w:tcMar>
          </w:tcPr>
          <w:p w14:paraId="4BB8B52C" w14:textId="77777777" w:rsidR="00321436" w:rsidRPr="006D06E6" w:rsidRDefault="00321436"/>
        </w:tc>
        <w:tc>
          <w:tcPr>
            <w:tcW w:w="1644" w:type="dxa"/>
            <w:vMerge/>
            <w:tcMar>
              <w:top w:w="55" w:type="dxa"/>
              <w:left w:w="70" w:type="dxa"/>
              <w:bottom w:w="55" w:type="dxa"/>
              <w:right w:w="70" w:type="dxa"/>
            </w:tcMar>
          </w:tcPr>
          <w:p w14:paraId="080B238B" w14:textId="77777777" w:rsidR="00321436" w:rsidRPr="006D06E6" w:rsidRDefault="00321436"/>
        </w:tc>
        <w:tc>
          <w:tcPr>
            <w:tcW w:w="5812" w:type="dxa"/>
            <w:tcMar>
              <w:top w:w="55" w:type="dxa"/>
              <w:left w:w="70" w:type="dxa"/>
              <w:bottom w:w="55" w:type="dxa"/>
              <w:right w:w="70" w:type="dxa"/>
            </w:tcMar>
          </w:tcPr>
          <w:p w14:paraId="2E5F34B5"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2. Về trình tự thủ tục ban hành Nghị quyết </w:t>
            </w:r>
          </w:p>
          <w:p w14:paraId="1575D9D9"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Luật Phát triển đô thị quy định: </w:t>
            </w:r>
          </w:p>
          <w:p w14:paraId="6533285B" w14:textId="77777777" w:rsidR="00E25256" w:rsidRPr="006D06E6" w:rsidRDefault="00E25256" w:rsidP="00E25256">
            <w:pPr>
              <w:spacing w:before="60"/>
              <w:jc w:val="both"/>
              <w:rPr>
                <w:rFonts w:cs="Times New Roman"/>
                <w:spacing w:val="-4"/>
                <w:sz w:val="24"/>
                <w:szCs w:val="24"/>
              </w:rPr>
            </w:pPr>
            <w:r w:rsidRPr="006D06E6">
              <w:rPr>
                <w:rFonts w:cs="Times New Roman"/>
                <w:i/>
                <w:iCs/>
                <w:spacing w:val="-4"/>
                <w:sz w:val="24"/>
                <w:szCs w:val="24"/>
              </w:rPr>
              <w:t>“Điều 7. Xây dựng, ban hành văn bản quy phạm pháp luật</w:t>
            </w:r>
            <w:r w:rsidRPr="006D06E6">
              <w:rPr>
                <w:rFonts w:cs="Times New Roman"/>
                <w:spacing w:val="-4"/>
                <w:sz w:val="24"/>
                <w:szCs w:val="24"/>
              </w:rPr>
              <w:t xml:space="preserve">… </w:t>
            </w:r>
          </w:p>
          <w:p w14:paraId="76A012AE"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4. Việc ban hành văn bản quy phạm pháp luật quy định tại khoản 1 và điểm b khoản 2 Điều này thực hiện theo quy định sau đây: c) </w:t>
            </w:r>
            <w:r w:rsidRPr="006D06E6">
              <w:rPr>
                <w:rFonts w:cs="Times New Roman"/>
                <w:i/>
                <w:iCs/>
                <w:spacing w:val="-4"/>
                <w:sz w:val="24"/>
                <w:szCs w:val="24"/>
                <w:u w:val="single"/>
              </w:rPr>
              <w:t>Đánh giá tác động của chính sách trong dự thảo văn bản</w:t>
            </w:r>
            <w:r w:rsidRPr="006D06E6">
              <w:rPr>
                <w:rFonts w:cs="Times New Roman"/>
                <w:i/>
                <w:iCs/>
                <w:spacing w:val="-4"/>
                <w:sz w:val="24"/>
                <w:szCs w:val="24"/>
              </w:rPr>
              <w:t xml:space="preserve">; d) </w:t>
            </w:r>
            <w:r w:rsidRPr="006D06E6">
              <w:rPr>
                <w:rFonts w:cs="Times New Roman"/>
                <w:i/>
                <w:iCs/>
                <w:spacing w:val="-4"/>
                <w:sz w:val="24"/>
                <w:szCs w:val="24"/>
                <w:u w:val="single"/>
              </w:rPr>
              <w:t>Thực hiện tham vấn dự thảo văn bản với các Bộ, cơ quan ngang Bộ, cơ</w:t>
            </w:r>
            <w:r w:rsidRPr="006D06E6">
              <w:rPr>
                <w:rFonts w:cs="Times New Roman"/>
                <w:i/>
                <w:iCs/>
                <w:spacing w:val="-4"/>
                <w:sz w:val="24"/>
                <w:szCs w:val="24"/>
              </w:rPr>
              <w:t xml:space="preserve"> </w:t>
            </w:r>
            <w:r w:rsidRPr="006D06E6">
              <w:rPr>
                <w:rFonts w:cs="Times New Roman"/>
                <w:i/>
                <w:iCs/>
                <w:spacing w:val="-4"/>
                <w:sz w:val="24"/>
                <w:szCs w:val="24"/>
                <w:u w:val="single"/>
              </w:rPr>
              <w:t>quan, tổ chức khác có liên quan</w:t>
            </w:r>
            <w:r w:rsidRPr="006D06E6">
              <w:rPr>
                <w:rFonts w:cs="Times New Roman"/>
                <w:i/>
                <w:iCs/>
                <w:spacing w:val="-4"/>
                <w:sz w:val="24"/>
                <w:szCs w:val="24"/>
              </w:rPr>
              <w:t xml:space="preserve">, lấy ý kiến của đối tượng chịu sự tác động trực tiếp của văn bản, truyền thông nội dung, đăng tải hồ sơ dự thảo văn bản và nội </w:t>
            </w:r>
            <w:r w:rsidRPr="006D06E6">
              <w:rPr>
                <w:rFonts w:cs="Times New Roman"/>
                <w:i/>
                <w:iCs/>
                <w:spacing w:val="-4"/>
                <w:sz w:val="24"/>
                <w:szCs w:val="24"/>
              </w:rPr>
              <w:lastRenderedPageBreak/>
              <w:t xml:space="preserve">dung tiếp thu, giải trình ý kiến tham vấn, góp ý của cơ quan, tổ chức, cá nhân đối với dự thảo văn bản; </w:t>
            </w:r>
          </w:p>
          <w:p w14:paraId="75F9A56D"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đ) Tuân thủ trình tự, thủ tục theo quy định của pháp luật về văn bản quy phạm pháp luật. Không áp dụng trình tự, thủ tục rút gọn, trừ trường hợp tạm </w:t>
            </w:r>
          </w:p>
          <w:p w14:paraId="054C4F7F"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ngưng hiệu lực toàn bộ hoặc một phần của văn bản hoặc bãi bỏ văn bản. … </w:t>
            </w:r>
          </w:p>
          <w:p w14:paraId="5B926937"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5. Hội đồng nhân dân Thành phố quy định việc xác định thẩm quyền ban hành văn bản quy phạm pháp luật quy định tại khoản 2 Điều này và </w:t>
            </w:r>
            <w:r w:rsidRPr="006D06E6">
              <w:rPr>
                <w:rFonts w:cs="Times New Roman"/>
                <w:i/>
                <w:iCs/>
                <w:spacing w:val="-4"/>
                <w:sz w:val="24"/>
                <w:szCs w:val="24"/>
                <w:u w:val="single"/>
              </w:rPr>
              <w:t>quy định chi</w:t>
            </w:r>
            <w:r w:rsidRPr="006D06E6">
              <w:rPr>
                <w:rFonts w:cs="Times New Roman"/>
                <w:i/>
                <w:iCs/>
                <w:spacing w:val="-4"/>
                <w:sz w:val="24"/>
                <w:szCs w:val="24"/>
              </w:rPr>
              <w:t xml:space="preserve"> </w:t>
            </w:r>
            <w:r w:rsidRPr="006D06E6">
              <w:rPr>
                <w:rFonts w:cs="Times New Roman"/>
                <w:i/>
                <w:iCs/>
                <w:spacing w:val="-4"/>
                <w:sz w:val="24"/>
                <w:szCs w:val="24"/>
                <w:u w:val="single"/>
              </w:rPr>
              <w:t>tiết khoản 4 Điều này</w:t>
            </w:r>
            <w:r w:rsidRPr="006D06E6">
              <w:rPr>
                <w:rFonts w:cs="Times New Roman"/>
                <w:i/>
                <w:iCs/>
                <w:spacing w:val="-4"/>
                <w:sz w:val="24"/>
                <w:szCs w:val="24"/>
              </w:rPr>
              <w:t xml:space="preserve">.”. </w:t>
            </w:r>
          </w:p>
          <w:p w14:paraId="1ADB5805"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Ngày 27/8/2026, Hội đồng nhân dân Thành phố thông qua Nghị quyết số 39/2026/NQ-HĐND quy định về xây dựng, ban hành văn bản quy phạm pháp luật để tổ chức thi hành Luật Phát triển đô thị trên địa bàn Thành phố Hồ Chí Minh; trong đó quy định về trình tự, thủ tục, thành phần hồ sơ ban hành văn bản quy phạm pháp luật thi hành Luật Phát triển đô thị như sau: </w:t>
            </w:r>
          </w:p>
          <w:p w14:paraId="6BCC8703"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“Điều 7. Soạn thảo văn bản thi hành Luật Phát triển đô thị … 2. Cơ quan chủ trì soạn thảo lập hồ sơ dự thảo, gồm: a) </w:t>
            </w:r>
            <w:r w:rsidRPr="006D06E6">
              <w:rPr>
                <w:rFonts w:cs="Times New Roman"/>
                <w:b/>
                <w:bCs/>
                <w:i/>
                <w:iCs/>
                <w:spacing w:val="-4"/>
                <w:sz w:val="24"/>
                <w:szCs w:val="24"/>
              </w:rPr>
              <w:t>Tờ trình theo quy định tại khoản 3 Điều này</w:t>
            </w:r>
            <w:r w:rsidRPr="006D06E6">
              <w:rPr>
                <w:rFonts w:cs="Times New Roman"/>
                <w:i/>
                <w:iCs/>
                <w:spacing w:val="-4"/>
                <w:sz w:val="24"/>
                <w:szCs w:val="24"/>
              </w:rPr>
              <w:t xml:space="preserve">; … đ) </w:t>
            </w:r>
            <w:r w:rsidRPr="006D06E6">
              <w:rPr>
                <w:rFonts w:cs="Times New Roman"/>
                <w:b/>
                <w:bCs/>
                <w:i/>
                <w:iCs/>
                <w:spacing w:val="-4"/>
                <w:sz w:val="24"/>
                <w:szCs w:val="24"/>
              </w:rPr>
              <w:t>Báo cáo đánh giá tác động của chính sách</w:t>
            </w:r>
            <w:r w:rsidRPr="006D06E6">
              <w:rPr>
                <w:rFonts w:cs="Times New Roman"/>
                <w:i/>
                <w:iCs/>
                <w:spacing w:val="-4"/>
                <w:sz w:val="24"/>
                <w:szCs w:val="24"/>
              </w:rPr>
              <w:t xml:space="preserve">; trong đó, đánh giá, so sánh giữa phương án áp dụng quy định hiện hành và phương án ban hành quy định khác hoặc chưa có với quy định hiện hành; … </w:t>
            </w:r>
          </w:p>
          <w:p w14:paraId="20647E12"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Điều 8. Tham vấn, lấy ý kiến, truyền thông nội dung, đăng tải hồ sơ dự thảo văn bản thi hành Luật Phát triển đô thị </w:t>
            </w:r>
          </w:p>
          <w:p w14:paraId="4A45354E"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1. Việc tham vấn chính sách được thực hiện bằng hình thức hội nghị, hội thảo hoặc lấy ý kiến bằng văn bản. a) Cơ quan chủ trì soạn thảo </w:t>
            </w:r>
            <w:r w:rsidRPr="006D06E6">
              <w:rPr>
                <w:rFonts w:cs="Times New Roman"/>
                <w:b/>
                <w:bCs/>
                <w:i/>
                <w:iCs/>
                <w:spacing w:val="-4"/>
                <w:sz w:val="24"/>
                <w:szCs w:val="24"/>
              </w:rPr>
              <w:t>có trách nhiệm</w:t>
            </w:r>
            <w:r w:rsidRPr="006D06E6">
              <w:rPr>
                <w:rFonts w:cs="Times New Roman"/>
                <w:i/>
                <w:iCs/>
                <w:spacing w:val="-4"/>
                <w:sz w:val="24"/>
                <w:szCs w:val="24"/>
              </w:rPr>
              <w:t xml:space="preserve"> </w:t>
            </w:r>
            <w:r w:rsidRPr="006D06E6">
              <w:rPr>
                <w:rFonts w:cs="Times New Roman"/>
                <w:i/>
                <w:iCs/>
                <w:spacing w:val="-4"/>
                <w:sz w:val="24"/>
                <w:szCs w:val="24"/>
                <w:u w:val="single"/>
              </w:rPr>
              <w:t>tổ chức hội nghị, hội thảo</w:t>
            </w:r>
            <w:r w:rsidRPr="006D06E6">
              <w:rPr>
                <w:rFonts w:cs="Times New Roman"/>
                <w:i/>
                <w:iCs/>
                <w:spacing w:val="-4"/>
                <w:sz w:val="24"/>
                <w:szCs w:val="24"/>
              </w:rPr>
              <w:t xml:space="preserve"> </w:t>
            </w:r>
            <w:r w:rsidRPr="006D06E6">
              <w:rPr>
                <w:rFonts w:cs="Times New Roman"/>
                <w:i/>
                <w:iCs/>
                <w:spacing w:val="-4"/>
                <w:sz w:val="24"/>
                <w:szCs w:val="24"/>
                <w:u w:val="single"/>
              </w:rPr>
              <w:lastRenderedPageBreak/>
              <w:t>hoặc gửi văn bản</w:t>
            </w:r>
            <w:r w:rsidRPr="006D06E6">
              <w:rPr>
                <w:rFonts w:cs="Times New Roman"/>
                <w:i/>
                <w:iCs/>
                <w:spacing w:val="-4"/>
                <w:sz w:val="24"/>
                <w:szCs w:val="24"/>
              </w:rPr>
              <w:t xml:space="preserve"> </w:t>
            </w:r>
            <w:r w:rsidRPr="006D06E6">
              <w:rPr>
                <w:rFonts w:cs="Times New Roman"/>
                <w:i/>
                <w:iCs/>
                <w:spacing w:val="-4"/>
                <w:sz w:val="24"/>
                <w:szCs w:val="24"/>
                <w:u w:val="single"/>
              </w:rPr>
              <w:t>để tham vấn ý kiến của Bộ, cơ quan ngang Bộ chuyên ngành,</w:t>
            </w:r>
            <w:r w:rsidRPr="006D06E6">
              <w:rPr>
                <w:rFonts w:cs="Times New Roman"/>
                <w:i/>
                <w:iCs/>
                <w:spacing w:val="-4"/>
                <w:sz w:val="24"/>
                <w:szCs w:val="24"/>
              </w:rPr>
              <w:t xml:space="preserve"> </w:t>
            </w:r>
            <w:r w:rsidRPr="006D06E6">
              <w:rPr>
                <w:rFonts w:cs="Times New Roman"/>
                <w:i/>
                <w:iCs/>
                <w:spacing w:val="-4"/>
                <w:sz w:val="24"/>
                <w:szCs w:val="24"/>
                <w:u w:val="single"/>
              </w:rPr>
              <w:t>Ủy ban Mặt trận Tổ quốc Việt Nam Thành phố Hồ Chí Minh</w:t>
            </w:r>
            <w:r w:rsidRPr="006D06E6">
              <w:rPr>
                <w:rFonts w:cs="Times New Roman"/>
                <w:i/>
                <w:iCs/>
                <w:spacing w:val="-4"/>
                <w:sz w:val="24"/>
                <w:szCs w:val="24"/>
              </w:rPr>
              <w:t xml:space="preserve">; … …c) Trường hợp lấy ý kiến bằng văn bản: văn bản tham vấn ý kiến phải nêu rõ các vấn đề chính sách cần tham vấn để cơ quan được tham vấn cho ý kiến; thời hạn lấy ý kiến tham vấn ít nhất là 05 ngày làm việc kể từ ngày nhận được đề nghị tham vấn. </w:t>
            </w:r>
          </w:p>
          <w:p w14:paraId="5C1AD716"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Cơ quan chủ trì soạn thảo có trách nhiệm gửi văn bản tiếp thu, giải trình ý kiến tham vấn cho các cơ quan, tổ chức, cá nhân được tham vấn ý kiến.” </w:t>
            </w:r>
          </w:p>
          <w:p w14:paraId="0CBA5A76"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Căn cứ quy định nêu trên, đề nghị Sở Khoa học và Công nghệ rà soát, nghiên cứu, đảm bảo việc thực hiện đầy đủ theo quy định. Trong đó, đố với hồ sơ hiện nay, Sở Tư pháp nhận thấy: </w:t>
            </w:r>
          </w:p>
          <w:p w14:paraId="642D10D2"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Hồ sơ </w:t>
            </w:r>
            <w:r w:rsidRPr="006D06E6">
              <w:rPr>
                <w:rFonts w:cs="Times New Roman"/>
                <w:b/>
                <w:bCs/>
                <w:spacing w:val="-4"/>
                <w:sz w:val="24"/>
                <w:szCs w:val="24"/>
              </w:rPr>
              <w:t xml:space="preserve">chưa thể hiện </w:t>
            </w:r>
            <w:r w:rsidRPr="006D06E6">
              <w:rPr>
                <w:rFonts w:cs="Times New Roman"/>
                <w:spacing w:val="-4"/>
                <w:sz w:val="24"/>
                <w:szCs w:val="24"/>
              </w:rPr>
              <w:t xml:space="preserve">cơ quan chủ trì soạn thảo đã tổ chức hội nghị, hội thảo hoặc gửi văn bản để tham vấn ý kiến của Bộ Khoa học và Công nghệ, cơ quan ngang Bộ chuyên ngành, Ủy ban Mặt trận Tổ quốc Việt Nam Thành phố Hồ Chí Minh. </w:t>
            </w:r>
          </w:p>
        </w:tc>
        <w:tc>
          <w:tcPr>
            <w:tcW w:w="5953" w:type="dxa"/>
            <w:tcMar>
              <w:top w:w="55" w:type="dxa"/>
              <w:left w:w="70" w:type="dxa"/>
              <w:bottom w:w="55" w:type="dxa"/>
              <w:right w:w="70" w:type="dxa"/>
            </w:tcMar>
          </w:tcPr>
          <w:p w14:paraId="2FEB2BB8" w14:textId="77777777" w:rsidR="00321436" w:rsidRPr="006D06E6" w:rsidRDefault="00F3794D">
            <w:pPr>
              <w:jc w:val="both"/>
            </w:pPr>
            <w:r w:rsidRPr="006D06E6">
              <w:rPr>
                <w:b/>
                <w:sz w:val="24"/>
              </w:rPr>
              <w:lastRenderedPageBreak/>
              <w:t>Tiếp thu.</w:t>
            </w:r>
          </w:p>
          <w:p w14:paraId="6BF90D1B" w14:textId="77777777" w:rsidR="00321436" w:rsidRPr="006D06E6" w:rsidRDefault="00F3794D">
            <w:pPr>
              <w:jc w:val="both"/>
            </w:pPr>
            <w:r w:rsidRPr="006D06E6">
              <w:rPr>
                <w:sz w:val="24"/>
              </w:rPr>
              <w:t>Sau khi Luật Phát triển đô thị và Nghị quyết số 39/2026/NQ-HĐND được ban hành, Sở Khoa học và Công nghệ tiếp tục thực hiện quy trình xây dựng văn bản theo quy định; đã gửi tham vấn Bộ Khoa học và Công nghệ, Ủy ban Mặt trận Tổ quốc Việt Nam Thành phố Hồ Chí Minh và các cơ quan, tổ chức có liên quan, đồng thời tiếp tục lấy ý kiến đối tượng chịu tác động trực tiếp. Các ý kiến đã nhận được được tổng hợp, tiếp thu, giải trình; kết quả tham vấn chính sách được lập thành văn bản riêng trong hồ sơ.</w:t>
            </w:r>
          </w:p>
        </w:tc>
      </w:tr>
      <w:tr w:rsidR="006D06E6" w:rsidRPr="006D06E6" w14:paraId="49093C48" w14:textId="77777777" w:rsidTr="00B562A6">
        <w:tc>
          <w:tcPr>
            <w:tcW w:w="1900" w:type="dxa"/>
            <w:tcMar>
              <w:top w:w="55" w:type="dxa"/>
              <w:left w:w="70" w:type="dxa"/>
              <w:bottom w:w="55" w:type="dxa"/>
              <w:right w:w="70" w:type="dxa"/>
            </w:tcMar>
          </w:tcPr>
          <w:p w14:paraId="4BC9C846" w14:textId="77777777" w:rsidR="00321436" w:rsidRPr="006D06E6" w:rsidRDefault="00321436"/>
        </w:tc>
        <w:tc>
          <w:tcPr>
            <w:tcW w:w="1644" w:type="dxa"/>
            <w:vMerge/>
            <w:tcMar>
              <w:top w:w="55" w:type="dxa"/>
              <w:left w:w="70" w:type="dxa"/>
              <w:bottom w:w="55" w:type="dxa"/>
              <w:right w:w="70" w:type="dxa"/>
            </w:tcMar>
          </w:tcPr>
          <w:p w14:paraId="171501BF" w14:textId="77777777" w:rsidR="00321436" w:rsidRPr="006D06E6" w:rsidRDefault="00321436"/>
        </w:tc>
        <w:tc>
          <w:tcPr>
            <w:tcW w:w="5812" w:type="dxa"/>
            <w:tcMar>
              <w:top w:w="55" w:type="dxa"/>
              <w:left w:w="70" w:type="dxa"/>
              <w:bottom w:w="55" w:type="dxa"/>
              <w:right w:w="70" w:type="dxa"/>
            </w:tcMar>
          </w:tcPr>
          <w:p w14:paraId="1BF0A779"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Hồ sơ chưa bao gồm Báo cáo đánh giá tác động của chính sách; trong đó, đánh giá, so sánh giữa phương án áp dụng quy định hiện hành và phương án ban hành quy định khác hoặc chưa có với quy định hiện hành; Do đó, đề nghị Sở Khoa học và Công nghệ rà soát, bổ sung, hoàn thiện dự thảo Nghị quyết theo đúng quy định. </w:t>
            </w:r>
          </w:p>
        </w:tc>
        <w:tc>
          <w:tcPr>
            <w:tcW w:w="5953" w:type="dxa"/>
            <w:tcMar>
              <w:top w:w="55" w:type="dxa"/>
              <w:left w:w="70" w:type="dxa"/>
              <w:bottom w:w="55" w:type="dxa"/>
              <w:right w:w="70" w:type="dxa"/>
            </w:tcMar>
          </w:tcPr>
          <w:p w14:paraId="7A559170" w14:textId="77777777" w:rsidR="00321436" w:rsidRPr="006D06E6" w:rsidRDefault="00F3794D">
            <w:pPr>
              <w:jc w:val="both"/>
            </w:pPr>
            <w:r w:rsidRPr="006D06E6">
              <w:rPr>
                <w:b/>
                <w:sz w:val="24"/>
              </w:rPr>
              <w:t>Tiếp thu.</w:t>
            </w:r>
          </w:p>
          <w:p w14:paraId="3FB976A4" w14:textId="77777777" w:rsidR="00321436" w:rsidRPr="006D06E6" w:rsidRDefault="00F3794D">
            <w:pPr>
              <w:jc w:val="both"/>
            </w:pPr>
            <w:r w:rsidRPr="006D06E6">
              <w:rPr>
                <w:sz w:val="24"/>
              </w:rPr>
              <w:t>Hồ sơ đã bổ sung Báo cáo đánh giá tác động của chính sách, trong đó có đánh giá, so sánh giữa phương án tiếp tục áp dụng quy định hiện hành và phương án ban hành Nghị quyết mới; đồng thời bổ sung, hoàn thiện các tài liệu theo thành phần hồ sơ quy định tại Nghị quyết số 39/2026/NQ-HĐND.</w:t>
            </w:r>
          </w:p>
        </w:tc>
      </w:tr>
      <w:tr w:rsidR="006D06E6" w:rsidRPr="006D06E6" w14:paraId="0993D7E2" w14:textId="77777777" w:rsidTr="00B562A6">
        <w:tc>
          <w:tcPr>
            <w:tcW w:w="1900" w:type="dxa"/>
            <w:tcMar>
              <w:top w:w="55" w:type="dxa"/>
              <w:left w:w="70" w:type="dxa"/>
              <w:bottom w:w="55" w:type="dxa"/>
              <w:right w:w="70" w:type="dxa"/>
            </w:tcMar>
          </w:tcPr>
          <w:p w14:paraId="025A73AC" w14:textId="77777777" w:rsidR="00321436" w:rsidRPr="006D06E6" w:rsidRDefault="00321436"/>
        </w:tc>
        <w:tc>
          <w:tcPr>
            <w:tcW w:w="1644" w:type="dxa"/>
            <w:vMerge/>
            <w:tcMar>
              <w:top w:w="55" w:type="dxa"/>
              <w:left w:w="70" w:type="dxa"/>
              <w:bottom w:w="55" w:type="dxa"/>
              <w:right w:w="70" w:type="dxa"/>
            </w:tcMar>
          </w:tcPr>
          <w:p w14:paraId="631434F8" w14:textId="77777777" w:rsidR="00321436" w:rsidRPr="006D06E6" w:rsidRDefault="00321436"/>
        </w:tc>
        <w:tc>
          <w:tcPr>
            <w:tcW w:w="5812" w:type="dxa"/>
            <w:tcMar>
              <w:top w:w="55" w:type="dxa"/>
              <w:left w:w="70" w:type="dxa"/>
              <w:bottom w:w="55" w:type="dxa"/>
              <w:right w:w="70" w:type="dxa"/>
            </w:tcMar>
          </w:tcPr>
          <w:p w14:paraId="194103BC"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 Về dự thảo Nghị quyết 3.1. Về phạm vi điều chỉnh </w:t>
            </w:r>
          </w:p>
          <w:p w14:paraId="6E391484"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 xml:space="preserve">Điều 1 dự thảo quy định như sau: </w:t>
            </w:r>
            <w:r w:rsidRPr="006D06E6">
              <w:rPr>
                <w:rFonts w:cs="Times New Roman"/>
                <w:i/>
                <w:iCs/>
                <w:spacing w:val="-4"/>
                <w:sz w:val="24"/>
                <w:szCs w:val="24"/>
              </w:rPr>
              <w:t xml:space="preserve">“Nghị quyết này quy định lĩnh vực, tiêu chí, điều kiện, trình tự, thủ tục, nội dung và mức hỗ trợ không hoàn lại </w:t>
            </w:r>
            <w:r w:rsidRPr="006D06E6">
              <w:rPr>
                <w:rFonts w:cs="Times New Roman"/>
                <w:i/>
                <w:iCs/>
                <w:spacing w:val="-4"/>
                <w:sz w:val="24"/>
                <w:szCs w:val="24"/>
                <w:u w:val="single"/>
              </w:rPr>
              <w:t>từ ngân</w:t>
            </w:r>
            <w:r w:rsidRPr="006D06E6">
              <w:rPr>
                <w:rFonts w:cs="Times New Roman"/>
                <w:i/>
                <w:iCs/>
                <w:spacing w:val="-4"/>
                <w:sz w:val="24"/>
                <w:szCs w:val="24"/>
              </w:rPr>
              <w:t xml:space="preserve"> </w:t>
            </w:r>
            <w:r w:rsidRPr="006D06E6">
              <w:rPr>
                <w:rFonts w:cs="Times New Roman"/>
                <w:i/>
                <w:iCs/>
                <w:spacing w:val="-4"/>
                <w:sz w:val="24"/>
                <w:szCs w:val="24"/>
                <w:u w:val="single"/>
              </w:rPr>
              <w:t>sách Thành phố</w:t>
            </w:r>
            <w:r w:rsidRPr="006D06E6">
              <w:rPr>
                <w:rFonts w:cs="Times New Roman"/>
                <w:i/>
                <w:iCs/>
                <w:spacing w:val="-4"/>
                <w:sz w:val="24"/>
                <w:szCs w:val="24"/>
              </w:rPr>
              <w:t xml:space="preserve"> cho chi phí ươm tạo dự án khởi nghiệp sáng tạo trên địa bàn Thành phố </w:t>
            </w:r>
            <w:r w:rsidRPr="006D06E6">
              <w:rPr>
                <w:rFonts w:cs="Times New Roman"/>
                <w:i/>
                <w:iCs/>
                <w:spacing w:val="-4"/>
                <w:sz w:val="24"/>
                <w:szCs w:val="24"/>
              </w:rPr>
              <w:lastRenderedPageBreak/>
              <w:t xml:space="preserve">Hồ Chí Minh theo nội dung quy định </w:t>
            </w:r>
            <w:r w:rsidRPr="006D06E6">
              <w:rPr>
                <w:rFonts w:cs="Times New Roman"/>
                <w:i/>
                <w:iCs/>
                <w:spacing w:val="-4"/>
                <w:sz w:val="24"/>
                <w:szCs w:val="24"/>
                <w:u w:val="single"/>
              </w:rPr>
              <w:t>tại điểm h khoản 2 Điều 29 Luật</w:t>
            </w:r>
            <w:r w:rsidRPr="006D06E6">
              <w:rPr>
                <w:rFonts w:cs="Times New Roman"/>
                <w:i/>
                <w:iCs/>
                <w:spacing w:val="-4"/>
                <w:sz w:val="24"/>
                <w:szCs w:val="24"/>
              </w:rPr>
              <w:t xml:space="preserve"> </w:t>
            </w:r>
            <w:r w:rsidRPr="006D06E6">
              <w:rPr>
                <w:rFonts w:cs="Times New Roman"/>
                <w:i/>
                <w:iCs/>
                <w:spacing w:val="-4"/>
                <w:sz w:val="24"/>
                <w:szCs w:val="24"/>
                <w:u w:val="single"/>
              </w:rPr>
              <w:t>Phát triển đô thị.”</w:t>
            </w:r>
            <w:r w:rsidRPr="006D06E6">
              <w:rPr>
                <w:rFonts w:cs="Times New Roman"/>
                <w:i/>
                <w:iCs/>
                <w:spacing w:val="-4"/>
                <w:sz w:val="24"/>
                <w:szCs w:val="24"/>
              </w:rPr>
              <w:t xml:space="preserve">. </w:t>
            </w:r>
          </w:p>
          <w:p w14:paraId="1ED50843"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Để đảm bảo việc quy định thống nhất với điểm h khoản 2 Điều 30 Luật Phát triển đô thị, đề nghị Sở Khoa học và Công nghệ điều chỉnh như sau: “</w:t>
            </w:r>
            <w:r w:rsidRPr="006D06E6">
              <w:rPr>
                <w:rFonts w:cs="Times New Roman"/>
                <w:i/>
                <w:iCs/>
                <w:spacing w:val="-4"/>
                <w:sz w:val="24"/>
                <w:szCs w:val="24"/>
              </w:rPr>
              <w:t xml:space="preserve">Nghị quyết này quy định lĩnh vực, tiêu chí, điều kiện, trình tự, thủ tục, nội dung và mức hỗ trợ không hoàn lại từ </w:t>
            </w:r>
            <w:r w:rsidRPr="006D06E6">
              <w:rPr>
                <w:rFonts w:cs="Times New Roman"/>
                <w:b/>
                <w:bCs/>
                <w:i/>
                <w:iCs/>
                <w:spacing w:val="-4"/>
                <w:sz w:val="24"/>
                <w:szCs w:val="24"/>
              </w:rPr>
              <w:t>nguồn chi thường xuyên của ngân sách Thành phố</w:t>
            </w:r>
            <w:r w:rsidRPr="006D06E6">
              <w:rPr>
                <w:rFonts w:cs="Times New Roman"/>
                <w:i/>
                <w:iCs/>
                <w:spacing w:val="-4"/>
                <w:sz w:val="24"/>
                <w:szCs w:val="24"/>
              </w:rPr>
              <w:t xml:space="preserve"> cho chi phí ươm tạo dự án khởi nghiệp sáng tạo trên địa bàn Thành phố Hồ Chí Minh theo nội dung quy định tại điểm h khoản 2 </w:t>
            </w:r>
            <w:r w:rsidRPr="006D06E6">
              <w:rPr>
                <w:rFonts w:cs="Times New Roman"/>
                <w:b/>
                <w:bCs/>
                <w:i/>
                <w:iCs/>
                <w:spacing w:val="-4"/>
                <w:sz w:val="24"/>
                <w:szCs w:val="24"/>
              </w:rPr>
              <w:t>Điều 30</w:t>
            </w:r>
            <w:r w:rsidRPr="006D06E6">
              <w:rPr>
                <w:rFonts w:cs="Times New Roman"/>
                <w:i/>
                <w:iCs/>
                <w:spacing w:val="-4"/>
                <w:sz w:val="24"/>
                <w:szCs w:val="24"/>
              </w:rPr>
              <w:t xml:space="preserve"> Luật Phát triển đô thị.”. </w:t>
            </w:r>
          </w:p>
        </w:tc>
        <w:tc>
          <w:tcPr>
            <w:tcW w:w="5953" w:type="dxa"/>
            <w:tcMar>
              <w:top w:w="55" w:type="dxa"/>
              <w:left w:w="70" w:type="dxa"/>
              <w:bottom w:w="55" w:type="dxa"/>
              <w:right w:w="70" w:type="dxa"/>
            </w:tcMar>
          </w:tcPr>
          <w:p w14:paraId="6DAAB300" w14:textId="77777777" w:rsidR="00321436" w:rsidRPr="006D06E6" w:rsidRDefault="00F3794D">
            <w:pPr>
              <w:jc w:val="both"/>
            </w:pPr>
            <w:r w:rsidRPr="006D06E6">
              <w:rPr>
                <w:b/>
                <w:sz w:val="24"/>
              </w:rPr>
              <w:lastRenderedPageBreak/>
              <w:t>Tiếp thu.</w:t>
            </w:r>
          </w:p>
          <w:p w14:paraId="48A1FDD6" w14:textId="77777777" w:rsidR="00321436" w:rsidRPr="006D06E6" w:rsidRDefault="00F3794D">
            <w:pPr>
              <w:jc w:val="both"/>
            </w:pPr>
            <w:r w:rsidRPr="006D06E6">
              <w:rPr>
                <w:sz w:val="24"/>
              </w:rPr>
              <w:t>Điều 1 dự thảo đã được chỉnh lý đúng nội dung được giao tại điểm h khoản 2 Điều 30 Luật Phát triển đô thị, trong đó xác định rõ nguồn hỗ trợ là “nguồn chi thường xuyên của ngân sách Thành phố”.</w:t>
            </w:r>
          </w:p>
        </w:tc>
      </w:tr>
      <w:tr w:rsidR="006D06E6" w:rsidRPr="006D06E6" w14:paraId="410545D9" w14:textId="77777777" w:rsidTr="00B562A6">
        <w:tc>
          <w:tcPr>
            <w:tcW w:w="1900" w:type="dxa"/>
            <w:tcMar>
              <w:top w:w="55" w:type="dxa"/>
              <w:left w:w="70" w:type="dxa"/>
              <w:bottom w:w="55" w:type="dxa"/>
              <w:right w:w="70" w:type="dxa"/>
            </w:tcMar>
          </w:tcPr>
          <w:p w14:paraId="07CDA41D" w14:textId="77777777" w:rsidR="00321436" w:rsidRPr="006D06E6" w:rsidRDefault="00321436"/>
        </w:tc>
        <w:tc>
          <w:tcPr>
            <w:tcW w:w="1644" w:type="dxa"/>
            <w:vMerge/>
            <w:tcMar>
              <w:top w:w="55" w:type="dxa"/>
              <w:left w:w="70" w:type="dxa"/>
              <w:bottom w:w="55" w:type="dxa"/>
              <w:right w:w="70" w:type="dxa"/>
            </w:tcMar>
          </w:tcPr>
          <w:p w14:paraId="771DAA0C" w14:textId="77777777" w:rsidR="00321436" w:rsidRPr="006D06E6" w:rsidRDefault="00321436"/>
        </w:tc>
        <w:tc>
          <w:tcPr>
            <w:tcW w:w="5812" w:type="dxa"/>
            <w:tcMar>
              <w:top w:w="55" w:type="dxa"/>
              <w:left w:w="70" w:type="dxa"/>
              <w:bottom w:w="55" w:type="dxa"/>
              <w:right w:w="70" w:type="dxa"/>
            </w:tcMar>
          </w:tcPr>
          <w:p w14:paraId="4811936F"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3.2. Về dự án khởi nghiệp sáng tạo ở giai đoạn tăng tốc </w:t>
            </w:r>
          </w:p>
          <w:p w14:paraId="6551D394"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 xml:space="preserve">Khoản 5 Điều 3 dự thảo quy định: </w:t>
            </w:r>
            <w:r w:rsidRPr="006D06E6">
              <w:rPr>
                <w:rFonts w:cs="Times New Roman"/>
                <w:i/>
                <w:iCs/>
                <w:spacing w:val="-4"/>
                <w:sz w:val="24"/>
                <w:szCs w:val="24"/>
              </w:rPr>
              <w:t>“5. Dự án khởi nghiệp sáng tạo ở giai đoạn tăng tốc là dự án</w:t>
            </w:r>
            <w:r w:rsidRPr="006D06E6">
              <w:rPr>
                <w:rFonts w:cs="Times New Roman"/>
                <w:b/>
                <w:bCs/>
                <w:i/>
                <w:iCs/>
                <w:spacing w:val="-4"/>
                <w:sz w:val="24"/>
                <w:szCs w:val="24"/>
              </w:rPr>
              <w:t xml:space="preserve"> </w:t>
            </w:r>
            <w:r w:rsidRPr="006D06E6">
              <w:rPr>
                <w:rFonts w:cs="Times New Roman"/>
                <w:i/>
                <w:iCs/>
                <w:spacing w:val="-4"/>
                <w:sz w:val="24"/>
                <w:szCs w:val="24"/>
              </w:rPr>
              <w:t>do</w:t>
            </w:r>
            <w:r w:rsidRPr="006D06E6">
              <w:rPr>
                <w:rFonts w:cs="Times New Roman"/>
                <w:b/>
                <w:bCs/>
                <w:i/>
                <w:iCs/>
                <w:spacing w:val="-4"/>
                <w:sz w:val="24"/>
                <w:szCs w:val="24"/>
              </w:rPr>
              <w:t xml:space="preserve"> doanh nghiệp</w:t>
            </w:r>
            <w:r w:rsidRPr="006D06E6">
              <w:rPr>
                <w:rFonts w:cs="Times New Roman"/>
                <w:i/>
                <w:iCs/>
                <w:spacing w:val="-4"/>
                <w:sz w:val="24"/>
                <w:szCs w:val="24"/>
              </w:rPr>
              <w:t xml:space="preserve"> </w:t>
            </w:r>
            <w:r w:rsidRPr="006D06E6">
              <w:rPr>
                <w:rFonts w:cs="Times New Roman"/>
                <w:b/>
                <w:bCs/>
                <w:i/>
                <w:iCs/>
                <w:spacing w:val="-4"/>
                <w:sz w:val="24"/>
                <w:szCs w:val="24"/>
              </w:rPr>
              <w:t>thực hiện</w:t>
            </w:r>
            <w:r w:rsidRPr="006D06E6">
              <w:rPr>
                <w:rFonts w:cs="Times New Roman"/>
                <w:i/>
                <w:iCs/>
                <w:spacing w:val="-4"/>
                <w:sz w:val="24"/>
                <w:szCs w:val="24"/>
              </w:rPr>
              <w:t xml:space="preserve">, đã có sản phẩm, dịch vụ hoặc giải pháp được thị trường chấp nhận, có khách hàng hoặc doanh thu, đang có nhu cầu mở rộng thị trường, phát triển quy mô, huy động nguồn lực đầu tư, nâng cao năng lực quản trị và khả năng tăng trưởng nhằm phát triển doanh nghiệp khởi nghiệp sáng tạo.”. </w:t>
            </w:r>
          </w:p>
          <w:p w14:paraId="0F2EAED5" w14:textId="77777777" w:rsidR="00E25256" w:rsidRPr="006D06E6" w:rsidRDefault="00E25256" w:rsidP="00E25256">
            <w:pPr>
              <w:spacing w:before="60"/>
              <w:jc w:val="both"/>
              <w:rPr>
                <w:rFonts w:cs="Times New Roman"/>
                <w:b/>
                <w:bCs/>
                <w:i/>
                <w:iCs/>
                <w:spacing w:val="-4"/>
                <w:sz w:val="24"/>
                <w:szCs w:val="24"/>
              </w:rPr>
            </w:pPr>
            <w:r w:rsidRPr="006D06E6">
              <w:rPr>
                <w:rFonts w:cs="Times New Roman"/>
                <w:spacing w:val="-4"/>
                <w:sz w:val="24"/>
                <w:szCs w:val="24"/>
              </w:rPr>
              <w:t xml:space="preserve">Tuy nhiên, điểm b khoản 1 Điều 4 dự thảo quy định: </w:t>
            </w:r>
            <w:r w:rsidRPr="006D06E6">
              <w:rPr>
                <w:rFonts w:cs="Times New Roman"/>
                <w:i/>
                <w:iCs/>
                <w:spacing w:val="-4"/>
                <w:sz w:val="24"/>
                <w:szCs w:val="24"/>
              </w:rPr>
              <w:t xml:space="preserve">“b) </w:t>
            </w:r>
            <w:r w:rsidRPr="006D06E6">
              <w:rPr>
                <w:rFonts w:cs="Times New Roman"/>
                <w:b/>
                <w:bCs/>
                <w:i/>
                <w:iCs/>
                <w:spacing w:val="-4"/>
                <w:sz w:val="24"/>
                <w:szCs w:val="24"/>
              </w:rPr>
              <w:t xml:space="preserve">Cá nhân, nhóm </w:t>
            </w:r>
          </w:p>
          <w:p w14:paraId="0CF5E199" w14:textId="77777777" w:rsidR="00E25256" w:rsidRPr="006D06E6" w:rsidRDefault="00E25256" w:rsidP="00E25256">
            <w:pPr>
              <w:spacing w:before="60"/>
              <w:jc w:val="both"/>
              <w:rPr>
                <w:rFonts w:cs="Times New Roman"/>
                <w:spacing w:val="-4"/>
                <w:sz w:val="24"/>
                <w:szCs w:val="24"/>
              </w:rPr>
            </w:pPr>
            <w:r w:rsidRPr="006D06E6">
              <w:rPr>
                <w:rFonts w:cs="Times New Roman"/>
                <w:b/>
                <w:bCs/>
                <w:i/>
                <w:iCs/>
                <w:spacing w:val="-4"/>
                <w:sz w:val="24"/>
                <w:szCs w:val="24"/>
              </w:rPr>
              <w:t>cá nhân</w:t>
            </w:r>
            <w:r w:rsidRPr="006D06E6">
              <w:rPr>
                <w:rFonts w:cs="Times New Roman"/>
                <w:i/>
                <w:iCs/>
                <w:spacing w:val="-4"/>
                <w:sz w:val="24"/>
                <w:szCs w:val="24"/>
              </w:rPr>
              <w:t xml:space="preserve">, doanh nghiệp có dự án khởi nghiệp sáng tạo </w:t>
            </w:r>
            <w:r w:rsidRPr="006D06E6">
              <w:rPr>
                <w:rFonts w:cs="Times New Roman"/>
                <w:i/>
                <w:iCs/>
                <w:spacing w:val="-4"/>
                <w:sz w:val="24"/>
                <w:szCs w:val="24"/>
                <w:u w:val="single"/>
              </w:rPr>
              <w:t>quy định tại các khoản 3, 4</w:t>
            </w:r>
            <w:r w:rsidRPr="006D06E6">
              <w:rPr>
                <w:rFonts w:cs="Times New Roman"/>
                <w:i/>
                <w:iCs/>
                <w:spacing w:val="-4"/>
                <w:sz w:val="24"/>
                <w:szCs w:val="24"/>
              </w:rPr>
              <w:t xml:space="preserve"> </w:t>
            </w:r>
            <w:r w:rsidRPr="006D06E6">
              <w:rPr>
                <w:rFonts w:cs="Times New Roman"/>
                <w:i/>
                <w:iCs/>
                <w:spacing w:val="-4"/>
                <w:sz w:val="24"/>
                <w:szCs w:val="24"/>
                <w:u w:val="single"/>
              </w:rPr>
              <w:t xml:space="preserve">và </w:t>
            </w:r>
            <w:r w:rsidRPr="006D06E6">
              <w:rPr>
                <w:rFonts w:cs="Times New Roman"/>
                <w:b/>
                <w:bCs/>
                <w:i/>
                <w:iCs/>
                <w:spacing w:val="-4"/>
                <w:sz w:val="24"/>
                <w:szCs w:val="24"/>
                <w:u w:val="single"/>
              </w:rPr>
              <w:t>5 Điều 3</w:t>
            </w:r>
            <w:r w:rsidRPr="006D06E6">
              <w:rPr>
                <w:rFonts w:cs="Times New Roman"/>
                <w:i/>
                <w:iCs/>
                <w:spacing w:val="-4"/>
                <w:sz w:val="24"/>
                <w:szCs w:val="24"/>
                <w:u w:val="single"/>
              </w:rPr>
              <w:t xml:space="preserve"> Nghị quyết này</w:t>
            </w:r>
            <w:r w:rsidRPr="006D06E6">
              <w:rPr>
                <w:rFonts w:cs="Times New Roman"/>
                <w:i/>
                <w:iCs/>
                <w:spacing w:val="-4"/>
                <w:sz w:val="24"/>
                <w:szCs w:val="24"/>
              </w:rPr>
              <w:t xml:space="preserve"> được xem xét hỗ trợ thông qua hoạt động tuyển chọn của trung tâm ươm tạo.”</w:t>
            </w:r>
            <w:r w:rsidRPr="006D06E6">
              <w:rPr>
                <w:rFonts w:cs="Times New Roman"/>
                <w:spacing w:val="-4"/>
                <w:sz w:val="24"/>
                <w:szCs w:val="24"/>
              </w:rPr>
              <w:t xml:space="preserve"> Như vậy, điểm b khoản 1 Điều 4 xác định cá nhân, nhóm cá nhân vẫn có dự án khởi nghiệp sáng tạo trong giai đoạn tăng tốc; tuy nhiên, khoản 5 Điều 3 dự thảo quy định “</w:t>
            </w:r>
            <w:r w:rsidRPr="006D06E6">
              <w:rPr>
                <w:rFonts w:cs="Times New Roman"/>
                <w:i/>
                <w:iCs/>
                <w:spacing w:val="-4"/>
                <w:sz w:val="24"/>
                <w:szCs w:val="24"/>
              </w:rPr>
              <w:t xml:space="preserve">Dự án khởi nghiệp sáng tạo ở giai đoạn tăng tốc là dự án </w:t>
            </w:r>
            <w:r w:rsidRPr="006D06E6">
              <w:rPr>
                <w:rFonts w:cs="Times New Roman"/>
                <w:b/>
                <w:bCs/>
                <w:i/>
                <w:iCs/>
                <w:spacing w:val="-4"/>
                <w:sz w:val="24"/>
                <w:szCs w:val="24"/>
              </w:rPr>
              <w:t>do doanh nghiệp</w:t>
            </w:r>
            <w:r w:rsidRPr="006D06E6">
              <w:rPr>
                <w:rFonts w:cs="Times New Roman"/>
                <w:i/>
                <w:iCs/>
                <w:spacing w:val="-4"/>
                <w:sz w:val="24"/>
                <w:szCs w:val="24"/>
              </w:rPr>
              <w:t xml:space="preserve"> thực hiện</w:t>
            </w:r>
            <w:r w:rsidRPr="006D06E6">
              <w:rPr>
                <w:rFonts w:cs="Times New Roman"/>
                <w:spacing w:val="-4"/>
                <w:sz w:val="24"/>
                <w:szCs w:val="24"/>
              </w:rPr>
              <w:t xml:space="preserve">” (không có cá nhân, nhóm cá nhân) là chưa thống nhất. </w:t>
            </w:r>
          </w:p>
          <w:p w14:paraId="4FDC513F"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lastRenderedPageBreak/>
              <w:t xml:space="preserve">Do đó, đề nghị Sở Khoa học và Công nghệ rà soát, điều chỉnh cho phù hợp. </w:t>
            </w:r>
          </w:p>
        </w:tc>
        <w:tc>
          <w:tcPr>
            <w:tcW w:w="5953" w:type="dxa"/>
            <w:tcMar>
              <w:top w:w="55" w:type="dxa"/>
              <w:left w:w="70" w:type="dxa"/>
              <w:bottom w:w="55" w:type="dxa"/>
              <w:right w:w="70" w:type="dxa"/>
            </w:tcMar>
          </w:tcPr>
          <w:p w14:paraId="5225AD3C" w14:textId="77777777" w:rsidR="00321436" w:rsidRPr="006D06E6" w:rsidRDefault="00F3794D">
            <w:pPr>
              <w:jc w:val="both"/>
            </w:pPr>
            <w:r w:rsidRPr="006D06E6">
              <w:rPr>
                <w:b/>
                <w:sz w:val="24"/>
              </w:rPr>
              <w:lastRenderedPageBreak/>
              <w:t>Tiếp thu.</w:t>
            </w:r>
          </w:p>
          <w:p w14:paraId="0A73BE5A" w14:textId="77777777" w:rsidR="005C6E21" w:rsidRPr="006D06E6" w:rsidRDefault="00F3794D" w:rsidP="005C6E21">
            <w:pPr>
              <w:jc w:val="both"/>
              <w:rPr>
                <w:rFonts w:cs="Times New Roman"/>
                <w:sz w:val="24"/>
                <w:szCs w:val="24"/>
              </w:rPr>
            </w:pPr>
            <w:r w:rsidRPr="006D06E6">
              <w:rPr>
                <w:sz w:val="24"/>
                <w:szCs w:val="24"/>
              </w:rPr>
              <w:t xml:space="preserve">Cơ quan soạn thảo đã rà soát, chỉnh sửa </w:t>
            </w:r>
            <w:r w:rsidR="005C6E21" w:rsidRPr="006D06E6">
              <w:rPr>
                <w:rFonts w:cs="Times New Roman"/>
                <w:spacing w:val="-4"/>
                <w:sz w:val="24"/>
                <w:szCs w:val="24"/>
              </w:rPr>
              <w:t xml:space="preserve">điểm b khoản 1 Điều 4 dự thảo quy định </w:t>
            </w:r>
            <w:r w:rsidRPr="006D06E6">
              <w:rPr>
                <w:sz w:val="24"/>
                <w:szCs w:val="24"/>
              </w:rPr>
              <w:t>để bảo đảm thống nhất chủ thể theo từng giai đoạ</w:t>
            </w:r>
            <w:r w:rsidR="005C6E21" w:rsidRPr="006D06E6">
              <w:rPr>
                <w:sz w:val="24"/>
                <w:szCs w:val="24"/>
              </w:rPr>
              <w:t xml:space="preserve">n; cụ thể thành: </w:t>
            </w:r>
            <w:r w:rsidR="005C6E21" w:rsidRPr="006D06E6">
              <w:rPr>
                <w:i/>
                <w:sz w:val="24"/>
                <w:szCs w:val="24"/>
              </w:rPr>
              <w:t xml:space="preserve">“b) </w:t>
            </w:r>
            <w:r w:rsidR="005C6E21" w:rsidRPr="006D06E6">
              <w:rPr>
                <w:rFonts w:cs="Times New Roman"/>
                <w:i/>
                <w:sz w:val="24"/>
                <w:szCs w:val="24"/>
              </w:rPr>
              <w:t>Dự án khởi nghiệp sáng tạo quy định tại các khoản 1, 2, 3, 4 và 5 Điều 3 Nghị quyết này được xem xét hỗ trợ thông qua trung tâm ươm tạo.”</w:t>
            </w:r>
            <w:r w:rsidR="005C6E21" w:rsidRPr="006D06E6">
              <w:rPr>
                <w:rFonts w:cs="Times New Roman"/>
                <w:sz w:val="24"/>
                <w:szCs w:val="24"/>
              </w:rPr>
              <w:t xml:space="preserve"> </w:t>
            </w:r>
          </w:p>
          <w:p w14:paraId="155A3739" w14:textId="77777777" w:rsidR="00321436" w:rsidRPr="006D06E6" w:rsidRDefault="00321436">
            <w:pPr>
              <w:jc w:val="both"/>
            </w:pPr>
          </w:p>
        </w:tc>
      </w:tr>
      <w:tr w:rsidR="006D06E6" w:rsidRPr="006D06E6" w14:paraId="2DD59B46" w14:textId="77777777" w:rsidTr="00B562A6">
        <w:tc>
          <w:tcPr>
            <w:tcW w:w="1900" w:type="dxa"/>
            <w:tcMar>
              <w:top w:w="55" w:type="dxa"/>
              <w:left w:w="70" w:type="dxa"/>
              <w:bottom w:w="55" w:type="dxa"/>
              <w:right w:w="70" w:type="dxa"/>
            </w:tcMar>
          </w:tcPr>
          <w:p w14:paraId="02555BE5" w14:textId="77777777" w:rsidR="00321436" w:rsidRPr="006D06E6" w:rsidRDefault="00321436"/>
        </w:tc>
        <w:tc>
          <w:tcPr>
            <w:tcW w:w="1644" w:type="dxa"/>
            <w:vMerge/>
            <w:tcMar>
              <w:top w:w="55" w:type="dxa"/>
              <w:left w:w="70" w:type="dxa"/>
              <w:bottom w:w="55" w:type="dxa"/>
              <w:right w:w="70" w:type="dxa"/>
            </w:tcMar>
          </w:tcPr>
          <w:p w14:paraId="1FB30D4D" w14:textId="77777777" w:rsidR="00321436" w:rsidRPr="006D06E6" w:rsidRDefault="00321436"/>
        </w:tc>
        <w:tc>
          <w:tcPr>
            <w:tcW w:w="5812" w:type="dxa"/>
            <w:tcMar>
              <w:top w:w="55" w:type="dxa"/>
              <w:left w:w="70" w:type="dxa"/>
              <w:bottom w:w="55" w:type="dxa"/>
              <w:right w:w="70" w:type="dxa"/>
            </w:tcMar>
          </w:tcPr>
          <w:p w14:paraId="331203CA"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3.3. Về lĩnh vực hỗ trợ </w:t>
            </w:r>
          </w:p>
          <w:p w14:paraId="55282B6E"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Khoản 2 Điều 4 dự thảo quy định: </w:t>
            </w:r>
          </w:p>
          <w:p w14:paraId="01170D02"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“2. Lĩnh vực hỗ trợ Dự án khởi nghiệp sáng tạo được hỗ trợ thuộc các lĩnh vực phục vụ phát triển kinh tế - xã hội, khoa học, công nghệ, đổi mới sáng tạo và chuyển đổi số của Thành phố, phù hợp với chiến lược, quy hoạch, chương trình, kế hoạch phát triển đã được cấp có thẩm quyền phê duyệt. </w:t>
            </w:r>
          </w:p>
          <w:p w14:paraId="6C5AA45F"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Sở Khoa học và Công nghệ Thành phố Hồ Chí Minh thông tin lĩnh vực hỗ trợ, định hướng ưu tiên phát triển của Thành phố, khả năng cân đối ngân sách hằng năm đến cơ quan quản lý nhiệm vụ đổi mới sáng tạo để thông báo, kêu gọi đề xuất nhiệm vụ.” </w:t>
            </w:r>
          </w:p>
          <w:p w14:paraId="6C60B584"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Sở Tư pháp nhận thấy điểm h khoản 2 Điều 30 Luật Phát triển đô thị giao </w:t>
            </w:r>
            <w:r w:rsidRPr="006D06E6">
              <w:rPr>
                <w:rFonts w:cs="Times New Roman"/>
                <w:b/>
                <w:bCs/>
                <w:spacing w:val="-4"/>
                <w:sz w:val="24"/>
                <w:szCs w:val="24"/>
              </w:rPr>
              <w:t>Hội đồng nhân dân Thành phố</w:t>
            </w:r>
            <w:r w:rsidRPr="006D06E6">
              <w:rPr>
                <w:rFonts w:cs="Times New Roman"/>
                <w:spacing w:val="-4"/>
                <w:sz w:val="24"/>
                <w:szCs w:val="24"/>
              </w:rPr>
              <w:t xml:space="preserve"> quy định </w:t>
            </w:r>
            <w:r w:rsidRPr="006D06E6">
              <w:rPr>
                <w:rFonts w:cs="Times New Roman"/>
                <w:spacing w:val="-4"/>
                <w:sz w:val="24"/>
                <w:szCs w:val="24"/>
                <w:u w:val="single"/>
              </w:rPr>
              <w:t>lĩnh vực</w:t>
            </w:r>
            <w:r w:rsidRPr="006D06E6">
              <w:rPr>
                <w:rFonts w:cs="Times New Roman"/>
                <w:spacing w:val="-4"/>
                <w:sz w:val="24"/>
                <w:szCs w:val="24"/>
              </w:rPr>
              <w:t xml:space="preserve"> được hỗ trợ từ nguồn chi thường xuyên ngân sách Thành phố cho hoạt động ươm tạo dự án khởi nghiệp sáng tạo; do đó việc xem xét, quy định cụ thể lĩnh vực được hỗ trợ hoặc chỉ quy định mang tính nguyên tắc, định hướng và giao Sở Khoa học và Công nghệ hàng năm thông tin, công bố lĩnh vực hỗ trợ, định hướng ưu tiên phát triển của Thành phố như cách thức quy định hiện nay thuộc thẩm quyền của Hội đồng nhân dân Thành phố; tuy nhiên, đối với từng cách thức quy định, Sở Tư pháp có ý kiến như sau: </w:t>
            </w:r>
          </w:p>
        </w:tc>
        <w:tc>
          <w:tcPr>
            <w:tcW w:w="5953" w:type="dxa"/>
            <w:tcMar>
              <w:top w:w="55" w:type="dxa"/>
              <w:left w:w="70" w:type="dxa"/>
              <w:bottom w:w="55" w:type="dxa"/>
              <w:right w:w="70" w:type="dxa"/>
            </w:tcMar>
          </w:tcPr>
          <w:p w14:paraId="552068A3" w14:textId="77777777" w:rsidR="00321436" w:rsidRPr="006D06E6" w:rsidRDefault="00F3794D">
            <w:pPr>
              <w:jc w:val="both"/>
            </w:pPr>
            <w:r w:rsidRPr="006D06E6">
              <w:rPr>
                <w:b/>
                <w:sz w:val="24"/>
              </w:rPr>
              <w:t>Giải trình.</w:t>
            </w:r>
          </w:p>
          <w:p w14:paraId="575B0D68" w14:textId="77777777" w:rsidR="00321436" w:rsidRPr="006D06E6" w:rsidRDefault="00F3794D">
            <w:pPr>
              <w:jc w:val="both"/>
            </w:pPr>
            <w:r w:rsidRPr="006D06E6">
              <w:rPr>
                <w:sz w:val="24"/>
              </w:rPr>
              <w:t>Điểm h khoản 2 Điều 30 Luật Phát triển đô thị giao Hội đồng nhân dân Thành phố quy định lĩnh vực hỗ trợ. Khoản 2 Điều 4 dự thảo đã trực tiếp xác định phạm vi lĩnh vực hỗ trợ là các lĩnh vực phục vụ phát triển kinh tế - xã hội, khoa học, công nghệ, đổi mới sáng tạo và chuyển đổi số của Thành phố, phù hợp với chiến lược, quy hoạch, chương trình, kế hoạch phát triển đã được cấp có thẩm quyền phê duyệt.</w:t>
            </w:r>
          </w:p>
          <w:p w14:paraId="5B1E209A" w14:textId="77777777" w:rsidR="00321436" w:rsidRPr="006D06E6" w:rsidRDefault="00F3794D">
            <w:pPr>
              <w:jc w:val="both"/>
            </w:pPr>
            <w:r w:rsidRPr="006D06E6">
              <w:rPr>
                <w:sz w:val="24"/>
              </w:rPr>
              <w:t>Dự thảo không quy định theo danh mục chi tiết, khép kín như Nghị quyết số 20/2023/NQ-HĐND do hoạt động khởi nghiệp sáng tạo có tính liên ngành, phát triển nhanh, thường xuyên phát sinh sản phẩm, mô hình kinh doanh và lĩnh vực công nghệ mới; việc xác định danh mục cố định có thể không bao quát kịp thời các lĩnh vực mới phù hợp định hướng phát triển của Thành phố và làm phát sinh nhu cầu thường xuyên sửa đổi Nghị quyết. Cách quy định hiện nay vẫn bảo đảm Hội đồng nhân dân Thành phố thực hiện thẩm quyền quy định lĩnh vực vì phạm vi lĩnh vực đã được xác định trực tiếp trong Nghị quyết và được giới hạn bởi các chiến lược, quy hoạch, chương trình, kế hoạch đã được cấp có thẩm quyền phê duyệt.</w:t>
            </w:r>
          </w:p>
        </w:tc>
      </w:tr>
      <w:tr w:rsidR="006D06E6" w:rsidRPr="006D06E6" w14:paraId="665C436B" w14:textId="77777777" w:rsidTr="00B562A6">
        <w:tc>
          <w:tcPr>
            <w:tcW w:w="1900" w:type="dxa"/>
            <w:tcMar>
              <w:top w:w="55" w:type="dxa"/>
              <w:left w:w="70" w:type="dxa"/>
              <w:bottom w:w="55" w:type="dxa"/>
              <w:right w:w="70" w:type="dxa"/>
            </w:tcMar>
          </w:tcPr>
          <w:p w14:paraId="76B29269" w14:textId="77777777" w:rsidR="00321436" w:rsidRPr="006D06E6" w:rsidRDefault="00321436"/>
        </w:tc>
        <w:tc>
          <w:tcPr>
            <w:tcW w:w="1644" w:type="dxa"/>
            <w:vMerge/>
            <w:tcMar>
              <w:top w:w="55" w:type="dxa"/>
              <w:left w:w="70" w:type="dxa"/>
              <w:bottom w:w="55" w:type="dxa"/>
              <w:right w:w="70" w:type="dxa"/>
            </w:tcMar>
          </w:tcPr>
          <w:p w14:paraId="3BA7B903" w14:textId="77777777" w:rsidR="00321436" w:rsidRPr="006D06E6" w:rsidRDefault="00321436"/>
        </w:tc>
        <w:tc>
          <w:tcPr>
            <w:tcW w:w="5812" w:type="dxa"/>
            <w:tcMar>
              <w:top w:w="55" w:type="dxa"/>
              <w:left w:w="70" w:type="dxa"/>
              <w:bottom w:w="55" w:type="dxa"/>
              <w:right w:w="70" w:type="dxa"/>
            </w:tcMar>
          </w:tcPr>
          <w:p w14:paraId="2C716D1A"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Trường hợp chỉ quy định mang tính nguyên tắc, định hướng và giao Sở Khoa học và Công nghệ hàng năm thông tin, công bố lĩnh vực hỗ trợ: đề nghị Sở Khoa học và công nghệ đánh </w:t>
            </w:r>
            <w:r w:rsidRPr="006D06E6">
              <w:rPr>
                <w:rFonts w:cs="Times New Roman"/>
                <w:spacing w:val="-4"/>
                <w:sz w:val="24"/>
                <w:szCs w:val="24"/>
              </w:rPr>
              <w:lastRenderedPageBreak/>
              <w:t xml:space="preserve">giá về mức độ thông tin, công khai, truyền thông các lĩnh vực được công bố đến đối tượng chịu tác động trực tiếp, đối tượng thụ hưởng chính sách của dự thảo; trong đó đảm bảo quyền được tiếp cận đầy đủ, kịp thời thông tin về lĩnh vực được hỗ trợ của các đối tượng nêu trên. </w:t>
            </w:r>
          </w:p>
        </w:tc>
        <w:tc>
          <w:tcPr>
            <w:tcW w:w="5953" w:type="dxa"/>
            <w:tcMar>
              <w:top w:w="55" w:type="dxa"/>
              <w:left w:w="70" w:type="dxa"/>
              <w:bottom w:w="55" w:type="dxa"/>
              <w:right w:w="70" w:type="dxa"/>
            </w:tcMar>
          </w:tcPr>
          <w:p w14:paraId="16733D17" w14:textId="77777777" w:rsidR="00321436" w:rsidRPr="006D06E6" w:rsidRDefault="00F3794D">
            <w:pPr>
              <w:jc w:val="both"/>
            </w:pPr>
            <w:r w:rsidRPr="006D06E6">
              <w:rPr>
                <w:b/>
                <w:sz w:val="24"/>
              </w:rPr>
              <w:lastRenderedPageBreak/>
              <w:t>Tiếp thu một phần.</w:t>
            </w:r>
          </w:p>
          <w:p w14:paraId="5DFB4923" w14:textId="77777777" w:rsidR="00321436" w:rsidRPr="006D06E6" w:rsidRDefault="00F3794D">
            <w:pPr>
              <w:jc w:val="both"/>
            </w:pPr>
            <w:r w:rsidRPr="006D06E6">
              <w:rPr>
                <w:sz w:val="24"/>
              </w:rPr>
              <w:t xml:space="preserve">Cơ quan soạn thảo thống nhất yêu cầu phải bảo đảm công khai, minh bạch và quyền tiếp cận đầy đủ, kịp thời thông tin </w:t>
            </w:r>
            <w:r w:rsidRPr="006D06E6">
              <w:rPr>
                <w:sz w:val="24"/>
              </w:rPr>
              <w:lastRenderedPageBreak/>
              <w:t>của đối tượng chịu tác động, đối tượng thụ hưởng. Việc thông tin định hướng ưu tiên được thực hiện hằng năm và gắn với thời điểm cơ quan quản lý nhiệm vụ tổ chức thông báo, kêu gọi đề xuất nhiệm vụ.</w:t>
            </w:r>
          </w:p>
          <w:p w14:paraId="0C319CE2" w14:textId="77777777" w:rsidR="00321436" w:rsidRPr="006D06E6" w:rsidRDefault="00F3794D">
            <w:pPr>
              <w:jc w:val="both"/>
            </w:pPr>
            <w:r w:rsidRPr="006D06E6">
              <w:rPr>
                <w:sz w:val="24"/>
              </w:rPr>
              <w:t>Điều 10 Nghị định số 268/2025/NĐ-CP đã quy định cơ quan quản lý nhiệm vụ đổi mới sáng tạo định kỳ hoặc đột xuất thông báo, kêu gọi đề xuất nhiệm vụ trên cổng thông tin điện tử, đồng thời thông báo phải xác định rõ thời hạn và địa chỉ tiếp nhận hồ sơ. Vì vậy, việc công khai đến đối tượng thụ hưởng được thực hiện thông qua thông báo kêu gọi theo quy định này.</w:t>
            </w:r>
          </w:p>
        </w:tc>
      </w:tr>
      <w:tr w:rsidR="006D06E6" w:rsidRPr="006D06E6" w14:paraId="2B2AA5A4" w14:textId="77777777" w:rsidTr="00B562A6">
        <w:tc>
          <w:tcPr>
            <w:tcW w:w="1900" w:type="dxa"/>
            <w:tcMar>
              <w:top w:w="55" w:type="dxa"/>
              <w:left w:w="70" w:type="dxa"/>
              <w:bottom w:w="55" w:type="dxa"/>
              <w:right w:w="70" w:type="dxa"/>
            </w:tcMar>
          </w:tcPr>
          <w:p w14:paraId="7C935E59" w14:textId="77777777" w:rsidR="00321436" w:rsidRPr="006D06E6" w:rsidRDefault="00321436"/>
        </w:tc>
        <w:tc>
          <w:tcPr>
            <w:tcW w:w="1644" w:type="dxa"/>
            <w:vMerge/>
            <w:tcMar>
              <w:top w:w="55" w:type="dxa"/>
              <w:left w:w="70" w:type="dxa"/>
              <w:bottom w:w="55" w:type="dxa"/>
              <w:right w:w="70" w:type="dxa"/>
            </w:tcMar>
          </w:tcPr>
          <w:p w14:paraId="3C976D8D" w14:textId="77777777" w:rsidR="00321436" w:rsidRPr="006D06E6" w:rsidRDefault="00321436"/>
        </w:tc>
        <w:tc>
          <w:tcPr>
            <w:tcW w:w="5812" w:type="dxa"/>
            <w:tcMar>
              <w:top w:w="55" w:type="dxa"/>
              <w:left w:w="70" w:type="dxa"/>
              <w:bottom w:w="55" w:type="dxa"/>
              <w:right w:w="70" w:type="dxa"/>
            </w:tcMar>
          </w:tcPr>
          <w:p w14:paraId="18527F62"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Bên cạnh đó, Sở Khoa học và Công nghệ đánh giá đầy đủ về năng lực, điều kiện của đơn vị trong việc công bố lĩnh vực hỗ trợ của Nghị quyết hằng năm; đảm bảo các lĩnh vực do đơn vị xem xét, công bố phải thuộc các lĩnh vực phục vụ phát triển kinh tế - xã hội, khoa học, công nghệ, đổi mới sáng tạo và chuyển đổi số của Thành phố, phù hợp với chiến lược, quy hoạch, chương trình, kế hoạch phát triển đã được cấp có thẩm quyền phê duyệt và chịu trách nhiệm toàn diện trong trường hợp thực hiện không đúng nội dung trên. Đồng thời, để đảm bảo khả năng tiếp cận thông tin của các đối tượng nêu trên, đề nghị Sở Khoa học và Công </w:t>
            </w:r>
            <w:r w:rsidRPr="006D06E6">
              <w:rPr>
                <w:rFonts w:cs="Times New Roman"/>
                <w:b/>
                <w:bCs/>
                <w:spacing w:val="-4"/>
                <w:sz w:val="24"/>
                <w:szCs w:val="24"/>
              </w:rPr>
              <w:t>nghệ bổ sung cụ thể thời gian thực hiện</w:t>
            </w:r>
            <w:r w:rsidRPr="006D06E6">
              <w:rPr>
                <w:rFonts w:cs="Times New Roman"/>
                <w:spacing w:val="-4"/>
                <w:sz w:val="24"/>
                <w:szCs w:val="24"/>
              </w:rPr>
              <w:t xml:space="preserve"> thông tin lĩnh vực hỗ trợ, định hướng ưu tiên phát triển của Thành phố; địa điểm niêm yết, thông báo … vào dự thảo Nghị quyết và chịu trách nhiệm trong việc thực hiện không đầy đủ, kịp thời theo nội dung Nghị quyết đã quy định. </w:t>
            </w:r>
          </w:p>
        </w:tc>
        <w:tc>
          <w:tcPr>
            <w:tcW w:w="5953" w:type="dxa"/>
            <w:tcMar>
              <w:top w:w="55" w:type="dxa"/>
              <w:left w:w="70" w:type="dxa"/>
              <w:bottom w:w="55" w:type="dxa"/>
              <w:right w:w="70" w:type="dxa"/>
            </w:tcMar>
          </w:tcPr>
          <w:p w14:paraId="2FED9F2E" w14:textId="77777777" w:rsidR="00321436" w:rsidRPr="006D06E6" w:rsidRDefault="00F3794D">
            <w:pPr>
              <w:jc w:val="both"/>
            </w:pPr>
            <w:r w:rsidRPr="006D06E6">
              <w:rPr>
                <w:b/>
                <w:sz w:val="24"/>
              </w:rPr>
              <w:t>Tiếp thu một phần và giải trình.</w:t>
            </w:r>
          </w:p>
          <w:p w14:paraId="4A00739D" w14:textId="77777777" w:rsidR="00321436" w:rsidRPr="006D06E6" w:rsidRDefault="00F3794D">
            <w:pPr>
              <w:jc w:val="both"/>
            </w:pPr>
            <w:r w:rsidRPr="006D06E6">
              <w:rPr>
                <w:sz w:val="24"/>
              </w:rPr>
              <w:t>Sở Khoa học và Công nghệ không quyết định, bổ sung hoặc mở rộng lĩnh vực hỗ trợ ngoài phạm vi Hội đồng nhân dân Thành phố đã quy định; chỉ tổng hợp, thông tin định hướng ưu tiên phát triển của Thành phố và khả năng cân đối ngân sách hằng năm để cơ quan quản lý nhiệm vụ làm căn cứ thông báo, kêu gọi đề xuất nhiệm vụ. Nội dung này đã được Quỹ Phát triển Khoa học và Công nghệ Thành phố thống nhất tại Công văn số 92/QKHCN-NV đối với khoản 2 Điều 4 dự thảo.</w:t>
            </w:r>
          </w:p>
          <w:p w14:paraId="0E6027F4" w14:textId="77777777" w:rsidR="00321436" w:rsidRPr="006D06E6" w:rsidRDefault="00F3794D">
            <w:pPr>
              <w:jc w:val="both"/>
            </w:pPr>
            <w:r w:rsidRPr="006D06E6">
              <w:rPr>
                <w:sz w:val="24"/>
              </w:rPr>
              <w:t>Việc tổng hợp, thông tin được thực hiện trên cơ sở các chiến lược, quy hoạch, chương trình, kế hoạch đã được cấp có thẩm quyền phê duyệt và khả năng cân đối ngân sách; không phải là việc Sở tự xác định lĩnh vực hỗ trợ. Sở và cơ quan quản lý nhiệm vụ chịu trách nhiệm thực hiện đúng phạm vi, căn cứ và trình tự theo Nghị quyết và pháp luật có liên quan.</w:t>
            </w:r>
          </w:p>
          <w:p w14:paraId="19E96DEC" w14:textId="77777777" w:rsidR="00321436" w:rsidRPr="006D06E6" w:rsidRDefault="00F3794D">
            <w:pPr>
              <w:jc w:val="both"/>
            </w:pPr>
            <w:r w:rsidRPr="006D06E6">
              <w:rPr>
                <w:sz w:val="24"/>
              </w:rPr>
              <w:t xml:space="preserve">Đối với đề nghị quy định cụ thể thời gian và địa điểm niêm yết, cơ quan soạn thảo tiếp thu theo hướng làm rõ việc thông tin được thực hiện hằng năm, trước khi cơ quan quản lý nhiệm vụ thông báo, kêu gọi đề xuất nhiệm vụ; không quy </w:t>
            </w:r>
            <w:r w:rsidRPr="006D06E6">
              <w:rPr>
                <w:sz w:val="24"/>
              </w:rPr>
              <w:lastRenderedPageBreak/>
              <w:t>định thêm địa điểm niêm yết riêng vì Điều 10 Nghị định số 268/2025/NĐ-CP đã quy định việc thông báo trên cổng thông tin điện tử và xác định thời hạn, địa chỉ tiếp nhận hồ sơ.</w:t>
            </w:r>
          </w:p>
        </w:tc>
      </w:tr>
      <w:tr w:rsidR="006D06E6" w:rsidRPr="006D06E6" w14:paraId="1DAC27FD" w14:textId="77777777" w:rsidTr="00B562A6">
        <w:tc>
          <w:tcPr>
            <w:tcW w:w="1900" w:type="dxa"/>
            <w:tcMar>
              <w:top w:w="55" w:type="dxa"/>
              <w:left w:w="70" w:type="dxa"/>
              <w:bottom w:w="55" w:type="dxa"/>
              <w:right w:w="70" w:type="dxa"/>
            </w:tcMar>
          </w:tcPr>
          <w:p w14:paraId="1E21532E" w14:textId="77777777" w:rsidR="00321436" w:rsidRPr="006D06E6" w:rsidRDefault="00321436"/>
        </w:tc>
        <w:tc>
          <w:tcPr>
            <w:tcW w:w="1644" w:type="dxa"/>
            <w:vMerge/>
            <w:tcMar>
              <w:top w:w="55" w:type="dxa"/>
              <w:left w:w="70" w:type="dxa"/>
              <w:bottom w:w="55" w:type="dxa"/>
              <w:right w:w="70" w:type="dxa"/>
            </w:tcMar>
          </w:tcPr>
          <w:p w14:paraId="7F80D3F0" w14:textId="77777777" w:rsidR="00321436" w:rsidRPr="006D06E6" w:rsidRDefault="00321436"/>
        </w:tc>
        <w:tc>
          <w:tcPr>
            <w:tcW w:w="5812" w:type="dxa"/>
            <w:tcMar>
              <w:top w:w="55" w:type="dxa"/>
              <w:left w:w="70" w:type="dxa"/>
              <w:bottom w:w="55" w:type="dxa"/>
              <w:right w:w="70" w:type="dxa"/>
            </w:tcMar>
          </w:tcPr>
          <w:p w14:paraId="0C4FA24A"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 xml:space="preserve">- Trường hợp quy định cụ thể lĩnh vực hỗ trợ: Qua rà soát, tại Bản so sánh thuyết minh dự thảo, Sở Khoa học và Công nghệ trình bày như sau: </w:t>
            </w:r>
            <w:r w:rsidRPr="006D06E6">
              <w:rPr>
                <w:rFonts w:cs="Times New Roman"/>
                <w:i/>
                <w:iCs/>
                <w:spacing w:val="-4"/>
                <w:sz w:val="24"/>
                <w:szCs w:val="24"/>
              </w:rPr>
              <w:t xml:space="preserve">“Bổ sung đầy đủ nội dung “lĩnh vực” theo điểm h khoản 2 Điều 30 Luật Phát triển đô thị. </w:t>
            </w:r>
            <w:r w:rsidRPr="006D06E6">
              <w:rPr>
                <w:rFonts w:cs="Times New Roman"/>
                <w:i/>
                <w:iCs/>
                <w:spacing w:val="-4"/>
                <w:sz w:val="24"/>
                <w:szCs w:val="24"/>
                <w:u w:val="single"/>
              </w:rPr>
              <w:t>Thay danh mục 09 lĩnh vực</w:t>
            </w:r>
            <w:r w:rsidRPr="006D06E6">
              <w:rPr>
                <w:rFonts w:cs="Times New Roman"/>
                <w:i/>
                <w:iCs/>
                <w:spacing w:val="-4"/>
                <w:sz w:val="24"/>
                <w:szCs w:val="24"/>
              </w:rPr>
              <w:t xml:space="preserve"> ưu tiên khép kín </w:t>
            </w:r>
            <w:r w:rsidRPr="006D06E6">
              <w:rPr>
                <w:rFonts w:cs="Times New Roman"/>
                <w:i/>
                <w:iCs/>
                <w:spacing w:val="-4"/>
                <w:sz w:val="24"/>
                <w:szCs w:val="24"/>
                <w:u w:val="single"/>
              </w:rPr>
              <w:t>bằng phạm vi lĩnh vực hỗ trợ có tính bao quát, gắn với chiến lược, quy hoạch,</w:t>
            </w:r>
            <w:r w:rsidRPr="006D06E6">
              <w:rPr>
                <w:rFonts w:cs="Times New Roman"/>
                <w:i/>
                <w:iCs/>
                <w:spacing w:val="-4"/>
                <w:sz w:val="24"/>
                <w:szCs w:val="24"/>
              </w:rPr>
              <w:t xml:space="preserve"> </w:t>
            </w:r>
            <w:r w:rsidRPr="006D06E6">
              <w:rPr>
                <w:rFonts w:cs="Times New Roman"/>
                <w:i/>
                <w:iCs/>
                <w:spacing w:val="-4"/>
                <w:sz w:val="24"/>
                <w:szCs w:val="24"/>
                <w:u w:val="single"/>
              </w:rPr>
              <w:t>chương trình, kế hoạch phát triển của Thành phố</w:t>
            </w:r>
            <w:r w:rsidRPr="006D06E6">
              <w:rPr>
                <w:rFonts w:cs="Times New Roman"/>
                <w:i/>
                <w:iCs/>
                <w:spacing w:val="-4"/>
                <w:sz w:val="24"/>
                <w:szCs w:val="24"/>
              </w:rPr>
              <w:t xml:space="preserve">. Việc xác định định hướng ưu tiên hằng năm được thực hiện trong phạm vi Hội đồng nhân dân Thành phố đã quy định và gắn với khả năng cân đối ngân sách.”. </w:t>
            </w:r>
          </w:p>
          <w:p w14:paraId="6611AD59"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Đối với ý kiến nêu trên, để khắc phục hạn chế chỉ quy định mặc định một số lĩnh vực nhất định, Sở Khoa học và công nghệ có thể xem xét, cân nhắc quy định các lĩnh vực cụ thể được hỗ trợ vào dự thảo; đồng thời quy định song song nội dung mang hướng mở như: Lĩnh vực khác phục vụ phát triển kinh tế - xã hội, khoa học, công nghệ, đổi mới sáng tạo và chuyển đổi số của Thành phố, phù hợp với chiến lược, quy hoạch, chương trình, kế hoạch phát triển đã được cấp có thẩm quyền phê duyệt. </w:t>
            </w:r>
          </w:p>
        </w:tc>
        <w:tc>
          <w:tcPr>
            <w:tcW w:w="5953" w:type="dxa"/>
            <w:tcMar>
              <w:top w:w="55" w:type="dxa"/>
              <w:left w:w="70" w:type="dxa"/>
              <w:bottom w:w="55" w:type="dxa"/>
              <w:right w:w="70" w:type="dxa"/>
            </w:tcMar>
          </w:tcPr>
          <w:p w14:paraId="4F341F93" w14:textId="77777777" w:rsidR="00321436" w:rsidRPr="006D06E6" w:rsidRDefault="007B3C55" w:rsidP="007B3C55">
            <w:pPr>
              <w:jc w:val="both"/>
            </w:pPr>
            <w:r w:rsidRPr="006D06E6">
              <w:rPr>
                <w:sz w:val="24"/>
              </w:rPr>
              <w:t>Ghi nhận ý kiến. Tuy nhiên, c</w:t>
            </w:r>
            <w:r w:rsidR="00F3794D" w:rsidRPr="006D06E6">
              <w:rPr>
                <w:sz w:val="24"/>
              </w:rPr>
              <w:t>ơ quan soạn thảo giữ phương án quy định theo phạm vi lĩnh vực tại khoản 2 Điều 4 để bảo đảm tính bao quát, linh hoạt và thích ứng với sự phát triển nhanh, liên ngành của hoạt động khởi nghiệp sáng tạo. Phạm vi này không phải quy định mở không giới hạn mà bị ràng buộc bởi yêu cầu phục vụ phát triển kinh tế - xã hội, khoa học, công nghệ, đổi mới sáng tạo và chuyển đổi số của Thành phố và phải phù hợp với chiến lược, quy hoạch, chương trình, kế hoạch phát triển đã được cấp có thẩm quyền phê duyệt.</w:t>
            </w:r>
          </w:p>
        </w:tc>
      </w:tr>
      <w:tr w:rsidR="006D06E6" w:rsidRPr="006D06E6" w14:paraId="0B2E4DC7" w14:textId="77777777" w:rsidTr="00B562A6">
        <w:tc>
          <w:tcPr>
            <w:tcW w:w="1900" w:type="dxa"/>
            <w:tcMar>
              <w:top w:w="55" w:type="dxa"/>
              <w:left w:w="70" w:type="dxa"/>
              <w:bottom w:w="55" w:type="dxa"/>
              <w:right w:w="70" w:type="dxa"/>
            </w:tcMar>
          </w:tcPr>
          <w:p w14:paraId="7086E9BA" w14:textId="77777777" w:rsidR="00321436" w:rsidRPr="006D06E6" w:rsidRDefault="00321436"/>
        </w:tc>
        <w:tc>
          <w:tcPr>
            <w:tcW w:w="1644" w:type="dxa"/>
            <w:vMerge/>
            <w:tcMar>
              <w:top w:w="55" w:type="dxa"/>
              <w:left w:w="70" w:type="dxa"/>
              <w:bottom w:w="55" w:type="dxa"/>
              <w:right w:w="70" w:type="dxa"/>
            </w:tcMar>
          </w:tcPr>
          <w:p w14:paraId="02C17617" w14:textId="77777777" w:rsidR="00321436" w:rsidRPr="006D06E6" w:rsidRDefault="00321436"/>
        </w:tc>
        <w:tc>
          <w:tcPr>
            <w:tcW w:w="5812" w:type="dxa"/>
            <w:tcMar>
              <w:top w:w="55" w:type="dxa"/>
              <w:left w:w="70" w:type="dxa"/>
              <w:bottom w:w="55" w:type="dxa"/>
              <w:right w:w="70" w:type="dxa"/>
            </w:tcMar>
          </w:tcPr>
          <w:p w14:paraId="52DC0B06"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3.4. Về điều kiện đối với dự án khởi nghiệp sáng tạo và trung tâm ươm tạo </w:t>
            </w:r>
          </w:p>
          <w:p w14:paraId="5E9FC7A3"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 xml:space="preserve">Điểm b khoản 2 Điều 6 dự thảo quy định: </w:t>
            </w:r>
            <w:r w:rsidRPr="006D06E6">
              <w:rPr>
                <w:rFonts w:cs="Times New Roman"/>
                <w:i/>
                <w:iCs/>
                <w:spacing w:val="-4"/>
                <w:sz w:val="24"/>
                <w:szCs w:val="24"/>
              </w:rPr>
              <w:t xml:space="preserve">“b) Doanh nghiệp, bao gồm doanh nghiệp có vốn đầu tư nước ngoài, phải được thành lập theo pháp luật Việt Nam, có trụ sở chính và </w:t>
            </w:r>
            <w:r w:rsidRPr="006D06E6">
              <w:rPr>
                <w:rFonts w:cs="Times New Roman"/>
                <w:b/>
                <w:bCs/>
                <w:i/>
                <w:iCs/>
                <w:spacing w:val="-4"/>
                <w:sz w:val="24"/>
                <w:szCs w:val="24"/>
              </w:rPr>
              <w:t>đang hoạt động thực tế</w:t>
            </w:r>
            <w:r w:rsidRPr="006D06E6">
              <w:rPr>
                <w:rFonts w:cs="Times New Roman"/>
                <w:i/>
                <w:iCs/>
                <w:spacing w:val="-4"/>
                <w:sz w:val="24"/>
                <w:szCs w:val="24"/>
              </w:rPr>
              <w:t xml:space="preserve"> trên địa bàn Thành phố Hồ Chí Minh.”. </w:t>
            </w:r>
          </w:p>
          <w:p w14:paraId="32BA9C9F"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lastRenderedPageBreak/>
              <w:t xml:space="preserve">Để có cơ sở triển khai, áp dụng thống nhất sau khi được ban hành, đề nghị Sở Khoa học và Công nghệ rà soát, nghiên cứu, quy định cụ thể cơ sở để xem xét, xác định như thế nào là doanh nghiệp </w:t>
            </w:r>
            <w:r w:rsidRPr="006D06E6">
              <w:rPr>
                <w:rFonts w:cs="Times New Roman"/>
                <w:b/>
                <w:bCs/>
                <w:spacing w:val="-4"/>
                <w:sz w:val="24"/>
                <w:szCs w:val="24"/>
              </w:rPr>
              <w:t>“đang hoạt động thực tế”</w:t>
            </w:r>
            <w:r w:rsidRPr="006D06E6">
              <w:rPr>
                <w:rFonts w:cs="Times New Roman"/>
                <w:spacing w:val="-4"/>
                <w:sz w:val="24"/>
                <w:szCs w:val="24"/>
              </w:rPr>
              <w:t xml:space="preserve"> trên địa bàn Thành phố. </w:t>
            </w:r>
          </w:p>
        </w:tc>
        <w:tc>
          <w:tcPr>
            <w:tcW w:w="5953" w:type="dxa"/>
            <w:tcMar>
              <w:top w:w="55" w:type="dxa"/>
              <w:left w:w="70" w:type="dxa"/>
              <w:bottom w:w="55" w:type="dxa"/>
              <w:right w:w="70" w:type="dxa"/>
            </w:tcMar>
          </w:tcPr>
          <w:p w14:paraId="3C174286" w14:textId="77777777" w:rsidR="00321436" w:rsidRPr="006D06E6" w:rsidRDefault="00F3794D" w:rsidP="00C429B1">
            <w:pPr>
              <w:jc w:val="both"/>
            </w:pPr>
            <w:r w:rsidRPr="006D06E6">
              <w:rPr>
                <w:b/>
                <w:sz w:val="24"/>
              </w:rPr>
              <w:lastRenderedPageBreak/>
              <w:t>Tiếp thu một phần.</w:t>
            </w:r>
          </w:p>
          <w:p w14:paraId="635FE273" w14:textId="77777777" w:rsidR="00C429B1" w:rsidRPr="006D06E6" w:rsidRDefault="00C429B1" w:rsidP="00C429B1">
            <w:pPr>
              <w:pStyle w:val="pdq2pgselectionanchorcontainer"/>
              <w:spacing w:before="0" w:beforeAutospacing="0" w:after="0" w:afterAutospacing="0"/>
              <w:jc w:val="both"/>
            </w:pPr>
            <w:r w:rsidRPr="006D06E6">
              <w:t xml:space="preserve">Quy định doanh nghiệp “đang hoạt động thực tế” nhằm bảo đảm doanh nghiệp được xem xét hỗ trợ không chỉ có thông tin đăng ký, trụ sở chính trên địa bàn Thành phố mà có hoạt động sản xuất, kinh doanh thực tế tại Thành phố. </w:t>
            </w:r>
          </w:p>
          <w:p w14:paraId="707F3276" w14:textId="77777777" w:rsidR="00C429B1" w:rsidRPr="006D06E6" w:rsidRDefault="00C429B1" w:rsidP="00C429B1">
            <w:pPr>
              <w:pStyle w:val="NormalWeb"/>
              <w:spacing w:before="0" w:beforeAutospacing="0" w:after="0" w:afterAutospacing="0"/>
              <w:jc w:val="both"/>
            </w:pPr>
            <w:r w:rsidRPr="006D06E6">
              <w:t xml:space="preserve">Để bảo đảm rõ ràng, thuận lợi khi áp dụng, cơ quan soạn thảo chỉnh lý cụm từ “đang hoạt động thực tế” thành </w:t>
            </w:r>
            <w:r w:rsidRPr="006D06E6">
              <w:rPr>
                <w:rStyle w:val="Strong"/>
              </w:rPr>
              <w:t xml:space="preserve">“đang có </w:t>
            </w:r>
            <w:r w:rsidRPr="006D06E6">
              <w:rPr>
                <w:rStyle w:val="Strong"/>
              </w:rPr>
              <w:lastRenderedPageBreak/>
              <w:t>hoạt động sản xuất, kinh doanh trên địa bàn Thành phố Hồ Chí Minh”</w:t>
            </w:r>
            <w:r w:rsidRPr="006D06E6">
              <w:t>. Việc xem xét được thực hiện trên cơ sở thông tin đăng ký doanh nghiệp và tài liệu có trong hồ sơ tuyển chọn, hồ sơ nhiệm vụ; không quy định thủ tục xác nhận riêng.</w:t>
            </w:r>
          </w:p>
          <w:p w14:paraId="5ABFCD28" w14:textId="77777777" w:rsidR="00321436" w:rsidRPr="006D06E6" w:rsidRDefault="00F3794D" w:rsidP="00C429B1">
            <w:pPr>
              <w:jc w:val="both"/>
            </w:pPr>
            <w:r w:rsidRPr="006D06E6">
              <w:rPr>
                <w:sz w:val="24"/>
              </w:rPr>
              <w:t>.</w:t>
            </w:r>
          </w:p>
        </w:tc>
      </w:tr>
      <w:tr w:rsidR="006D06E6" w:rsidRPr="006D06E6" w14:paraId="429A3B0B" w14:textId="77777777" w:rsidTr="00B562A6">
        <w:tc>
          <w:tcPr>
            <w:tcW w:w="1900" w:type="dxa"/>
            <w:tcMar>
              <w:top w:w="55" w:type="dxa"/>
              <w:left w:w="70" w:type="dxa"/>
              <w:bottom w:w="55" w:type="dxa"/>
              <w:right w:w="70" w:type="dxa"/>
            </w:tcMar>
          </w:tcPr>
          <w:p w14:paraId="0A6A8165" w14:textId="77777777" w:rsidR="00321436" w:rsidRPr="006D06E6" w:rsidRDefault="00321436"/>
        </w:tc>
        <w:tc>
          <w:tcPr>
            <w:tcW w:w="1644" w:type="dxa"/>
            <w:vMerge/>
            <w:tcMar>
              <w:top w:w="55" w:type="dxa"/>
              <w:left w:w="70" w:type="dxa"/>
              <w:bottom w:w="55" w:type="dxa"/>
              <w:right w:w="70" w:type="dxa"/>
            </w:tcMar>
          </w:tcPr>
          <w:p w14:paraId="32F2B8B7" w14:textId="77777777" w:rsidR="00321436" w:rsidRPr="006D06E6" w:rsidRDefault="00321436"/>
        </w:tc>
        <w:tc>
          <w:tcPr>
            <w:tcW w:w="5812" w:type="dxa"/>
            <w:tcMar>
              <w:top w:w="55" w:type="dxa"/>
              <w:left w:w="70" w:type="dxa"/>
              <w:bottom w:w="55" w:type="dxa"/>
              <w:right w:w="70" w:type="dxa"/>
            </w:tcMar>
          </w:tcPr>
          <w:p w14:paraId="24A500BA" w14:textId="77777777" w:rsidR="00E25256" w:rsidRPr="006D06E6" w:rsidRDefault="00E25256" w:rsidP="00E25256">
            <w:pPr>
              <w:spacing w:before="60"/>
              <w:jc w:val="both"/>
              <w:rPr>
                <w:rFonts w:cs="Times New Roman"/>
                <w:spacing w:val="-4"/>
                <w:sz w:val="24"/>
                <w:szCs w:val="24"/>
              </w:rPr>
            </w:pPr>
            <w:r w:rsidRPr="006D06E6">
              <w:rPr>
                <w:rFonts w:cs="Times New Roman"/>
                <w:b/>
                <w:bCs/>
                <w:spacing w:val="-4"/>
                <w:sz w:val="24"/>
                <w:szCs w:val="24"/>
              </w:rPr>
              <w:t xml:space="preserve">3.5. Về hồ sơ, trình tự, thủ tục thực hiện hỗ trợ </w:t>
            </w:r>
            <w:r w:rsidRPr="006D06E6">
              <w:rPr>
                <w:rFonts w:cs="Times New Roman"/>
                <w:spacing w:val="-4"/>
                <w:sz w:val="24"/>
                <w:szCs w:val="24"/>
              </w:rPr>
              <w:t xml:space="preserve">Sở Tư pháp nhận thấy, đối tượng áp dụng đối với dự thảo hiện nay gồm: . cá nhân, nhóm cá nhân, doanh nghiệp có dự án khởi nghiệp sáng tạo và Trung tâm đổi mới sáng tạo, trung tâm hỗ trợ khởi nghiệp sáng tạo; tuy nhiên, nội dung quy định tại Điều 8 dự thảo Nghị quyết chưa xác định áp dụng đối với đối tượng nào (cá nhân, nhóm cá nhân hay Trung tâm); theo đó, điểm b khoản 2 Điều 8 dự thảo quy định: </w:t>
            </w:r>
          </w:p>
          <w:p w14:paraId="6919948B"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"b) Trình tự, thủ tục thông báo, tiếp nhận hồ sơ, xét duyệt, thẩm định kinh phí, phê duyệt, ký hợp đồng, cấp kinh phí, kiểm tra, đánh giá, quyết toán và thanh lý hợp đồng thực hiện theo quy định tại Điều 10, Điều 12, Điều 13, Điều 14, Điều 15, Điều 16, Điều 17, Điều 18 Nghị định số 268/2025/NĐ-CP và quy định về quản lý nhiệm vụ khoa học, công nghệ và đổi mới sáng tạo của Thành phố, trừ các nội dung được quy định cụ thể tại Nghị quyết này.". </w:t>
            </w:r>
          </w:p>
          <w:p w14:paraId="15648273" w14:textId="77777777" w:rsidR="00E25256" w:rsidRPr="006D06E6" w:rsidRDefault="00E25256" w:rsidP="00E25256">
            <w:pPr>
              <w:spacing w:before="60"/>
              <w:jc w:val="both"/>
              <w:rPr>
                <w:rFonts w:cs="Times New Roman"/>
                <w:b/>
                <w:bCs/>
                <w:spacing w:val="-4"/>
                <w:sz w:val="24"/>
                <w:szCs w:val="24"/>
              </w:rPr>
            </w:pPr>
            <w:r w:rsidRPr="006D06E6">
              <w:rPr>
                <w:rFonts w:cs="Times New Roman"/>
                <w:spacing w:val="-4"/>
                <w:sz w:val="24"/>
                <w:szCs w:val="24"/>
              </w:rPr>
              <w:t>Qua rà soát, Điều 11 Nghị định số 268/2025/NĐ-CP quy định như sau:</w:t>
            </w:r>
            <w:r w:rsidRPr="006D06E6">
              <w:rPr>
                <w:rFonts w:cs="Times New Roman"/>
                <w:b/>
                <w:bCs/>
                <w:spacing w:val="-4"/>
                <w:sz w:val="24"/>
                <w:szCs w:val="24"/>
              </w:rPr>
              <w:t xml:space="preserve"> </w:t>
            </w:r>
          </w:p>
          <w:p w14:paraId="4BED231C"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"Doanh nghiệp, tổ chức đăng ký thực hiện nhiệm vụ đổi mới sáng tạo tài trợ, đặt hàng quy định tại điểm a, b và điểm c khoản 3 Điều 5 Nghị định này phải nộp 01 bộ hồ sơ theo quy định, bao gồm: </w:t>
            </w:r>
          </w:p>
          <w:p w14:paraId="6368BEE3"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lastRenderedPageBreak/>
              <w:t xml:space="preserve">1. Đơn đăng ký thực hiện nhiệm vụ theo Mẫu số I.1 Phụ lục I ban hành kèm theo Nghị định này. </w:t>
            </w:r>
          </w:p>
          <w:p w14:paraId="447002E0"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2. Thuyết minh nhiệm vụ tương ứng theo Mẫu số I.2, I.3, I.4 và I.5 Phụ lục I ban hành kèm theo Nghị định này. </w:t>
            </w:r>
          </w:p>
          <w:p w14:paraId="182B213F"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3. Tài liệu </w:t>
            </w:r>
            <w:r w:rsidRPr="006D06E6">
              <w:rPr>
                <w:rFonts w:cs="Times New Roman"/>
                <w:b/>
                <w:bCs/>
                <w:i/>
                <w:iCs/>
                <w:spacing w:val="-4"/>
                <w:sz w:val="24"/>
                <w:szCs w:val="24"/>
              </w:rPr>
              <w:t>chứng minh tư cách pháp lý</w:t>
            </w:r>
            <w:r w:rsidRPr="006D06E6">
              <w:rPr>
                <w:rFonts w:cs="Times New Roman"/>
                <w:i/>
                <w:iCs/>
                <w:spacing w:val="-4"/>
                <w:sz w:val="24"/>
                <w:szCs w:val="24"/>
              </w:rPr>
              <w:t xml:space="preserve"> của tổ chức đề xuất: Quyết định </w:t>
            </w:r>
            <w:r w:rsidRPr="006D06E6">
              <w:rPr>
                <w:rFonts w:cs="Times New Roman"/>
                <w:i/>
                <w:iCs/>
                <w:spacing w:val="-4"/>
                <w:sz w:val="24"/>
                <w:szCs w:val="24"/>
                <w:u w:val="single"/>
              </w:rPr>
              <w:t>thành lập</w:t>
            </w:r>
            <w:r w:rsidRPr="006D06E6">
              <w:rPr>
                <w:rFonts w:cs="Times New Roman"/>
                <w:i/>
                <w:iCs/>
                <w:spacing w:val="-4"/>
                <w:sz w:val="24"/>
                <w:szCs w:val="24"/>
              </w:rPr>
              <w:t xml:space="preserve"> hoặc </w:t>
            </w:r>
            <w:r w:rsidRPr="006D06E6">
              <w:rPr>
                <w:rFonts w:cs="Times New Roman"/>
                <w:i/>
                <w:iCs/>
                <w:spacing w:val="-4"/>
                <w:sz w:val="24"/>
                <w:szCs w:val="24"/>
                <w:u w:val="single"/>
              </w:rPr>
              <w:t>Điều lệ hoạt động</w:t>
            </w:r>
            <w:r w:rsidRPr="006D06E6">
              <w:rPr>
                <w:rFonts w:cs="Times New Roman"/>
                <w:i/>
                <w:iCs/>
                <w:spacing w:val="-4"/>
                <w:sz w:val="24"/>
                <w:szCs w:val="24"/>
              </w:rPr>
              <w:t xml:space="preserve"> được cơ quan có thẩm quyền phê duyệt hoặc các tài liệu tương đương khác.". </w:t>
            </w:r>
          </w:p>
          <w:p w14:paraId="49A72782"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Như vậy, trường hợp đối tượng nộp hồ sơ là cá nhân, nhóm cá nhân, đề nghị Sở Khoa học và công nghệ rà soát lại và xác định thành phần hồ sơ quy định tại khoản 3 nêu trên có đảm bảo phù hợp với cá nhân, nhóm cá nhân; từ đó xem xét, nghiên cứu, quy định cho phù hợp. </w:t>
            </w:r>
          </w:p>
        </w:tc>
        <w:tc>
          <w:tcPr>
            <w:tcW w:w="5953" w:type="dxa"/>
            <w:tcMar>
              <w:top w:w="55" w:type="dxa"/>
              <w:left w:w="70" w:type="dxa"/>
              <w:bottom w:w="55" w:type="dxa"/>
              <w:right w:w="70" w:type="dxa"/>
            </w:tcMar>
          </w:tcPr>
          <w:p w14:paraId="2CA373DB" w14:textId="77777777" w:rsidR="00321436" w:rsidRPr="006D06E6" w:rsidRDefault="00F3794D">
            <w:pPr>
              <w:jc w:val="both"/>
            </w:pPr>
            <w:r w:rsidRPr="006D06E6">
              <w:rPr>
                <w:b/>
                <w:sz w:val="24"/>
              </w:rPr>
              <w:lastRenderedPageBreak/>
              <w:t>Giải trình.</w:t>
            </w:r>
          </w:p>
          <w:p w14:paraId="15A052EE" w14:textId="77777777" w:rsidR="00321436" w:rsidRPr="006D06E6" w:rsidRDefault="00F3794D">
            <w:pPr>
              <w:jc w:val="both"/>
            </w:pPr>
            <w:r w:rsidRPr="006D06E6">
              <w:rPr>
                <w:sz w:val="24"/>
              </w:rPr>
              <w:t>Chủ thể đăng ký thực hiện nhiệm vụ và nộp hồ sơ với cơ quan quản lý nhiệm vụ là trung tâm ươm tạo. Cá nhân, nhóm cá nhân, doanh nghiệp có dự án chỉ tham gia hoạt động tuyển chọn tại trung tâm ươm tạo và không trực tiếp nộp hồ sơ đăng ký nhiệm vụ với cơ quan nhà nước. Do đó, thành phần “tài liệu chứng minh tư cách pháp lý của tổ chức đề xuất” theo Điều 11 Nghị định số 268/2025/NĐ-CP áp dụng đối với trung tâm ươm tạo là tổ chức đăng ký nhiệm vụ, không áp dụng đối với cá nhân, nhóm cá nhân có dự án.</w:t>
            </w:r>
          </w:p>
        </w:tc>
      </w:tr>
      <w:tr w:rsidR="006D06E6" w:rsidRPr="006D06E6" w14:paraId="0F85C37D" w14:textId="77777777" w:rsidTr="00B562A6">
        <w:tc>
          <w:tcPr>
            <w:tcW w:w="1900" w:type="dxa"/>
            <w:tcMar>
              <w:top w:w="55" w:type="dxa"/>
              <w:left w:w="70" w:type="dxa"/>
              <w:bottom w:w="55" w:type="dxa"/>
              <w:right w:w="70" w:type="dxa"/>
            </w:tcMar>
          </w:tcPr>
          <w:p w14:paraId="31D7F2E2" w14:textId="77777777" w:rsidR="00321436" w:rsidRPr="006D06E6" w:rsidRDefault="00321436"/>
        </w:tc>
        <w:tc>
          <w:tcPr>
            <w:tcW w:w="1644" w:type="dxa"/>
            <w:vMerge/>
            <w:tcMar>
              <w:top w:w="55" w:type="dxa"/>
              <w:left w:w="70" w:type="dxa"/>
              <w:bottom w:w="55" w:type="dxa"/>
              <w:right w:w="70" w:type="dxa"/>
            </w:tcMar>
          </w:tcPr>
          <w:p w14:paraId="448D926E" w14:textId="77777777" w:rsidR="00321436" w:rsidRPr="006D06E6" w:rsidRDefault="00321436"/>
        </w:tc>
        <w:tc>
          <w:tcPr>
            <w:tcW w:w="5812" w:type="dxa"/>
            <w:tcMar>
              <w:top w:w="55" w:type="dxa"/>
              <w:left w:w="70" w:type="dxa"/>
              <w:bottom w:w="55" w:type="dxa"/>
              <w:right w:w="70" w:type="dxa"/>
            </w:tcMar>
          </w:tcPr>
          <w:p w14:paraId="063766FF"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Bên cạnh đó, do đây là Nghị quyết triển khai thi hành Luật Phát triển đô thị </w:t>
            </w:r>
            <w:r w:rsidRPr="006D06E6">
              <w:rPr>
                <w:rFonts w:cs="Times New Roman"/>
                <w:i/>
                <w:iCs/>
                <w:spacing w:val="-4"/>
                <w:sz w:val="24"/>
                <w:szCs w:val="24"/>
              </w:rPr>
              <w:t>(không phải các văn bản triển khai, thi hành Luật Khoa học, công nghệ và đổi mới sáng tạo)</w:t>
            </w:r>
            <w:r w:rsidRPr="006D06E6">
              <w:rPr>
                <w:rFonts w:cs="Times New Roman"/>
                <w:spacing w:val="-4"/>
                <w:sz w:val="24"/>
                <w:szCs w:val="24"/>
              </w:rPr>
              <w:t xml:space="preserve">, trong trường hợp Sở Khoa học và Công nghệ đánh giá, xác định các thủ tục hành chính tại Điều 10, Điều 12, Điều 13, Điều 14, Điều 15, Điều 16, Điều 17, Điều 18 Nghị định số 268/2025/NĐ-CP là phù hợp với yêu cầu của dự thảo Nghị quyết hiện nay, đề nghị Sở Khoa học và Công nghệ trao đổi, thống nhất ý kiến với Văn phòng Ủy ban nhân dân Thành phố về việc </w:t>
            </w:r>
            <w:r w:rsidRPr="006D06E6">
              <w:rPr>
                <w:rFonts w:cs="Times New Roman"/>
                <w:b/>
                <w:bCs/>
                <w:spacing w:val="-4"/>
                <w:sz w:val="24"/>
                <w:szCs w:val="24"/>
              </w:rPr>
              <w:t>quy định trực tiếp nội dung các thủ tục hành chính</w:t>
            </w:r>
            <w:r w:rsidRPr="006D06E6">
              <w:rPr>
                <w:rFonts w:cs="Times New Roman"/>
                <w:spacing w:val="-4"/>
                <w:sz w:val="24"/>
                <w:szCs w:val="24"/>
              </w:rPr>
              <w:t xml:space="preserve"> vào dự thảo Nghị quyết thay vì dẫn chiếu áp dụng đến Nghị định số 268/2025/NĐ-CP. </w:t>
            </w:r>
          </w:p>
        </w:tc>
        <w:tc>
          <w:tcPr>
            <w:tcW w:w="5953" w:type="dxa"/>
            <w:tcMar>
              <w:top w:w="55" w:type="dxa"/>
              <w:left w:w="70" w:type="dxa"/>
              <w:bottom w:w="55" w:type="dxa"/>
              <w:right w:w="70" w:type="dxa"/>
            </w:tcMar>
          </w:tcPr>
          <w:p w14:paraId="167700BB" w14:textId="77777777" w:rsidR="00321436" w:rsidRPr="006D06E6" w:rsidRDefault="00F3794D" w:rsidP="00F3794D">
            <w:pPr>
              <w:jc w:val="both"/>
            </w:pPr>
            <w:r w:rsidRPr="006D06E6">
              <w:rPr>
                <w:b/>
                <w:sz w:val="24"/>
              </w:rPr>
              <w:t>Tiếp thu ý kiến và giải trình.</w:t>
            </w:r>
          </w:p>
          <w:p w14:paraId="6E63D355" w14:textId="77777777" w:rsidR="00F3794D" w:rsidRPr="006D06E6" w:rsidRDefault="00F3794D" w:rsidP="00F3794D">
            <w:pPr>
              <w:pStyle w:val="pdq2pgselectionanchorcontainer"/>
              <w:spacing w:before="0" w:beforeAutospacing="0" w:after="0" w:afterAutospacing="0"/>
              <w:jc w:val="both"/>
            </w:pPr>
            <w:r w:rsidRPr="006D06E6">
              <w:t>Tại lần lấy ý kiến thứ nhất, Văn phòng Ủy ban nhân dân Thành phố đã có ý kiến đối với nội dung thủ tục hành chính và việc dẫn chiếu trình tự, thủ tục thực hiện hỗ trợ. Trên cơ sở đó, cơ quan soạn thảo đã rà soát, chỉnh lý dự thảo theo hướng không thiết lập thủ tục hành chính riêng đối với dự án khởi nghiệp sáng tạo; việc hỗ trợ được tổ chức thực hiện thông qua nhiệm vụ hỗ trợ khởi nghiệp sáng tạo và trình tự, thủ tục tiếp tục thực hiện theo Nghị định số 268/2025/NĐ-CP và quy định quản lý nhiệm vụ khoa học, công nghệ và đổi mới sáng tạo của Thành phố. Việc quy định lại toàn bộ các bước đã được Nghị định quy định có thể dẫn đến trùng lặp và thiếu thống nhất khi văn bản cấp trên được sửa đổi, bổ sung.</w:t>
            </w:r>
          </w:p>
          <w:p w14:paraId="06AF5613" w14:textId="77777777" w:rsidR="00321436" w:rsidRPr="006D06E6" w:rsidRDefault="00F3794D" w:rsidP="00F3794D">
            <w:pPr>
              <w:pStyle w:val="NormalWeb"/>
              <w:spacing w:before="0" w:beforeAutospacing="0" w:after="0" w:afterAutospacing="0"/>
              <w:jc w:val="both"/>
            </w:pPr>
            <w:r w:rsidRPr="006D06E6">
              <w:t xml:space="preserve">Đối với hồ sơ lấy ý kiến lần hai, đến thời điểm hoàn thiện hồ sơ, cơ quan soạn thảo chưa nhận được ý kiến bổ sung của Văn phòng Ủy ban nhân dân Thành phố đối với nội dung này. </w:t>
            </w:r>
            <w:r w:rsidRPr="006D06E6">
              <w:lastRenderedPageBreak/>
              <w:t>Tuy nhiên, phương án hiện tại vẫn bảo đảm nguyên tắc không làm phát sinh thủ tục hành chính mới, không tạo quy trình song song với quy định hiện hành và bảo đảm tính thống nhất trong quá trình tổ chức thực hiện. Cơ quan soạn thảo sẽ tiếp tục theo dõi, cập nhật kịp thời ý kiến của Văn phòng Ủy ban nhân dân Thành phố (nếu có) để hoàn thiện hồ sơ trước khi trình cấp có thẩm quyền.</w:t>
            </w:r>
          </w:p>
        </w:tc>
      </w:tr>
      <w:tr w:rsidR="006D06E6" w:rsidRPr="006D06E6" w14:paraId="393EE5AE" w14:textId="77777777" w:rsidTr="00B562A6">
        <w:tc>
          <w:tcPr>
            <w:tcW w:w="1900" w:type="dxa"/>
            <w:tcMar>
              <w:top w:w="55" w:type="dxa"/>
              <w:left w:w="70" w:type="dxa"/>
              <w:bottom w:w="55" w:type="dxa"/>
              <w:right w:w="70" w:type="dxa"/>
            </w:tcMar>
          </w:tcPr>
          <w:p w14:paraId="19A948D0" w14:textId="77777777" w:rsidR="00321436" w:rsidRPr="006D06E6" w:rsidRDefault="00321436"/>
        </w:tc>
        <w:tc>
          <w:tcPr>
            <w:tcW w:w="1644" w:type="dxa"/>
            <w:vMerge/>
            <w:tcMar>
              <w:top w:w="55" w:type="dxa"/>
              <w:left w:w="70" w:type="dxa"/>
              <w:bottom w:w="55" w:type="dxa"/>
              <w:right w:w="70" w:type="dxa"/>
            </w:tcMar>
          </w:tcPr>
          <w:p w14:paraId="0E5B0219" w14:textId="77777777" w:rsidR="00321436" w:rsidRPr="006D06E6" w:rsidRDefault="00321436"/>
        </w:tc>
        <w:tc>
          <w:tcPr>
            <w:tcW w:w="5812" w:type="dxa"/>
            <w:tcMar>
              <w:top w:w="55" w:type="dxa"/>
              <w:left w:w="70" w:type="dxa"/>
              <w:bottom w:w="55" w:type="dxa"/>
              <w:right w:w="70" w:type="dxa"/>
            </w:tcMar>
          </w:tcPr>
          <w:p w14:paraId="546C24D7"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3.6. Về điều khoản chuyển tiếp </w:t>
            </w:r>
          </w:p>
          <w:p w14:paraId="53CE28F1"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Dự thảo quy định như sau: </w:t>
            </w:r>
          </w:p>
          <w:p w14:paraId="2705816A"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“Điều 11. Điều khoản chuyển tiếp </w:t>
            </w:r>
          </w:p>
          <w:p w14:paraId="19428D83"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1. Đối với đề xuất liên quan đến hỗ trợ dự án đổi mới sáng tạo, khởi nghiệp sáng tạo đã nộp cho cơ quan nhà nước có thẩm quyền nhưng đến </w:t>
            </w:r>
            <w:r w:rsidRPr="006D06E6">
              <w:rPr>
                <w:rFonts w:cs="Times New Roman"/>
                <w:b/>
                <w:bCs/>
                <w:i/>
                <w:iCs/>
                <w:spacing w:val="-4"/>
                <w:sz w:val="24"/>
                <w:szCs w:val="24"/>
              </w:rPr>
              <w:t>ngày 01 tháng 10 năm 2025</w:t>
            </w:r>
            <w:r w:rsidRPr="006D06E6">
              <w:rPr>
                <w:rFonts w:cs="Times New Roman"/>
                <w:i/>
                <w:iCs/>
                <w:spacing w:val="-4"/>
                <w:sz w:val="24"/>
                <w:szCs w:val="24"/>
              </w:rPr>
              <w:t xml:space="preserve"> chưa được cơ quan nhà nước có thẩm quyền phê duyệt giao tổ chức chủ trì thực hiện nhiệm vụ thì tiếp tục thực hiện theo quy định tại khoản 1 Điều 73 Luật Khoa học, Công nghệ và Đổi mới sáng tạo số  93/2025/QH15, khoản 1 Điều 56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w:t>
            </w:r>
          </w:p>
          <w:p w14:paraId="293B9170"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2. Đối với đề xuất liên quan đến hỗ trợ dự án đổi mới sáng tạo, khởi nghiệp sáng tạo đã được cơ quan có thẩm quyền phê duyệt giao chủ trì thực hiện nhiệm vụ trước </w:t>
            </w:r>
            <w:r w:rsidRPr="006D06E6">
              <w:rPr>
                <w:rFonts w:cs="Times New Roman"/>
                <w:b/>
                <w:bCs/>
                <w:i/>
                <w:iCs/>
                <w:spacing w:val="-4"/>
                <w:sz w:val="24"/>
                <w:szCs w:val="24"/>
              </w:rPr>
              <w:t>ngày 01 tháng 10 năm 2025</w:t>
            </w:r>
            <w:r w:rsidRPr="006D06E6">
              <w:rPr>
                <w:rFonts w:cs="Times New Roman"/>
                <w:i/>
                <w:iCs/>
                <w:spacing w:val="-4"/>
                <w:sz w:val="24"/>
                <w:szCs w:val="24"/>
              </w:rPr>
              <w:t xml:space="preserve"> thì tiếp tục thực hiện theo quy định khoản 3 Điều 73 Luật Khoa học, Công nghệ và Đổi mới sáng tạo số </w:t>
            </w:r>
            <w:r w:rsidRPr="006D06E6">
              <w:rPr>
                <w:rFonts w:cs="Times New Roman"/>
                <w:i/>
                <w:iCs/>
                <w:spacing w:val="-4"/>
                <w:sz w:val="24"/>
                <w:szCs w:val="24"/>
              </w:rPr>
              <w:lastRenderedPageBreak/>
              <w:t xml:space="preserve">93/2025/QH15, khoản 2 Điều 56 Nghị định số 267/2025/NĐ-CP.”. </w:t>
            </w:r>
          </w:p>
          <w:p w14:paraId="6D474E07" w14:textId="77777777" w:rsidR="00E25256" w:rsidRPr="006D06E6" w:rsidRDefault="00E25256" w:rsidP="00E25256">
            <w:pPr>
              <w:spacing w:before="60"/>
              <w:jc w:val="both"/>
              <w:rPr>
                <w:rFonts w:cs="Times New Roman"/>
                <w:i/>
                <w:iCs/>
                <w:spacing w:val="-4"/>
                <w:sz w:val="24"/>
                <w:szCs w:val="24"/>
              </w:rPr>
            </w:pPr>
            <w:r w:rsidRPr="006D06E6">
              <w:rPr>
                <w:rFonts w:cs="Times New Roman"/>
                <w:spacing w:val="-4"/>
                <w:sz w:val="24"/>
                <w:szCs w:val="24"/>
              </w:rPr>
              <w:t>Về vấn đề này, Điều 22 Thông tư số 26/2025/TT-BTP ngày 12 tháng 12 năm 2025 của Bộ Tư pháp hướng dẫn xây dựng, ban hành văn bản quy phạm pháp luật quy định: “</w:t>
            </w:r>
            <w:r w:rsidRPr="006D06E6">
              <w:rPr>
                <w:rFonts w:cs="Times New Roman"/>
                <w:i/>
                <w:iCs/>
                <w:spacing w:val="-4"/>
                <w:sz w:val="24"/>
                <w:szCs w:val="24"/>
              </w:rPr>
              <w:t xml:space="preserve">Điều 22. Soạn thảo điều khoản chuyển tiếp </w:t>
            </w:r>
          </w:p>
          <w:p w14:paraId="6389424D" w14:textId="77777777" w:rsidR="00E25256" w:rsidRPr="006D06E6" w:rsidRDefault="00E25256" w:rsidP="00E25256">
            <w:pPr>
              <w:spacing w:before="60"/>
              <w:jc w:val="both"/>
              <w:rPr>
                <w:rFonts w:cs="Times New Roman"/>
                <w:i/>
                <w:iCs/>
                <w:spacing w:val="-4"/>
                <w:sz w:val="24"/>
                <w:szCs w:val="24"/>
              </w:rPr>
            </w:pPr>
            <w:r w:rsidRPr="006D06E6">
              <w:rPr>
                <w:rFonts w:cs="Times New Roman"/>
                <w:i/>
                <w:iCs/>
                <w:spacing w:val="-4"/>
                <w:sz w:val="24"/>
                <w:szCs w:val="24"/>
              </w:rPr>
              <w:t xml:space="preserve">1. Khi </w:t>
            </w:r>
            <w:r w:rsidRPr="006D06E6">
              <w:rPr>
                <w:rFonts w:cs="Times New Roman"/>
                <w:b/>
                <w:bCs/>
                <w:i/>
                <w:iCs/>
                <w:spacing w:val="-4"/>
                <w:sz w:val="24"/>
                <w:szCs w:val="24"/>
              </w:rPr>
              <w:t>sửa đổi, bổ sung, thay thế hoặc bãi bỏ</w:t>
            </w:r>
            <w:r w:rsidRPr="006D06E6">
              <w:rPr>
                <w:rFonts w:cs="Times New Roman"/>
                <w:i/>
                <w:iCs/>
                <w:spacing w:val="-4"/>
                <w:sz w:val="24"/>
                <w:szCs w:val="24"/>
              </w:rPr>
              <w:t xml:space="preserve"> văn bản quy phạm pháp luật bằng văn bản quy phạm pháp luật khác, cơ quan chủ trì soạn thảo cần rà soát, soạn thảo điều khoản chuyển tiếp để giải quyết các trường hợp cụ thể bị tác động bởi việc sửa đổi, bổ sung, thay thế hoặc bãi bỏ văn bản quy phạm pháp luật đó.” </w:t>
            </w:r>
          </w:p>
          <w:p w14:paraId="23C16335"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Như vậy, điều khoản chuyển tiếp được soạn thảo khi sửa đổi, bổ sung, thay thế hoặc bãi bỏ văn bản quy phạm pháp luật bằng văn bản quy phạm pháp luật khác; theo đó, dự thảo Nghị quyết hiện nay không sửa đổi, bổ sung, thay thế hoặc bãi bỏ Luật Khoa học, Công nghệ và Đổi mới sáng tạo, Nghị định số 267/2025/NĐ-CP. </w:t>
            </w:r>
          </w:p>
          <w:p w14:paraId="4D07BCEC"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Bên cạnh đó, phạm vi điều chỉnh và đối tượng áp dụng, giai đoạn hỗ trợ của dự thảo Nghị quyết hiện nay là khác với Luật Khoa học, Công nghệ và đổi mới sáng tạo; do đó, Sở Tư pháp nhận thấy việc quy định điều khoản chuyển tiếp đối với hai văn bản nêu trên là chưa phù hợp. </w:t>
            </w:r>
          </w:p>
        </w:tc>
        <w:tc>
          <w:tcPr>
            <w:tcW w:w="5953" w:type="dxa"/>
            <w:tcMar>
              <w:top w:w="55" w:type="dxa"/>
              <w:left w:w="70" w:type="dxa"/>
              <w:bottom w:w="55" w:type="dxa"/>
              <w:right w:w="70" w:type="dxa"/>
            </w:tcMar>
          </w:tcPr>
          <w:p w14:paraId="3CE78D51" w14:textId="77777777" w:rsidR="00321436" w:rsidRPr="006D06E6" w:rsidRDefault="009A756C" w:rsidP="009A756C">
            <w:pPr>
              <w:jc w:val="both"/>
            </w:pPr>
            <w:r w:rsidRPr="006D06E6">
              <w:rPr>
                <w:b/>
                <w:sz w:val="24"/>
              </w:rPr>
              <w:lastRenderedPageBreak/>
              <w:t>Tiếp thu, ghi nhận ý kiến</w:t>
            </w:r>
            <w:r w:rsidR="00F00DF2" w:rsidRPr="006D06E6">
              <w:rPr>
                <w:b/>
                <w:sz w:val="24"/>
              </w:rPr>
              <w:t xml:space="preserve"> và giả</w:t>
            </w:r>
            <w:r w:rsidR="00F3794D" w:rsidRPr="006D06E6">
              <w:rPr>
                <w:b/>
                <w:sz w:val="24"/>
              </w:rPr>
              <w:t>i trình.</w:t>
            </w:r>
          </w:p>
          <w:p w14:paraId="1A251F44" w14:textId="77777777" w:rsidR="009A756C" w:rsidRPr="006D06E6" w:rsidRDefault="009A756C" w:rsidP="009A756C">
            <w:pPr>
              <w:jc w:val="both"/>
              <w:rPr>
                <w:rFonts w:eastAsia="Times New Roman" w:cs="Times New Roman"/>
                <w:sz w:val="24"/>
                <w:szCs w:val="24"/>
              </w:rPr>
            </w:pPr>
            <w:r w:rsidRPr="006D06E6">
              <w:rPr>
                <w:rFonts w:eastAsia="Times New Roman" w:cs="Times New Roman"/>
                <w:sz w:val="24"/>
                <w:szCs w:val="24"/>
              </w:rPr>
              <w:t>Điều 11 được xây dựng để xử lý hai giai đoạn chuyển tiếp khác nhau. Khoản 1 và khoản 2 không đặt ra cơ chế chuyển tiếp mới mà dẫn chiếu trực tiếp quy định chuyển tiếp của Luật Khoa học, công nghệ và đổi mới sáng tạo và Nghị định số 267/2025/NĐ-CP đối với các đề xuất, nhiệm vụ đã phát sinh trước ngày 01 tháng 10 năm 2025; qua đó bảo đảm việc xử lý các trường hợp này thống nhất với quy định của văn bản cấp trên.</w:t>
            </w:r>
          </w:p>
          <w:p w14:paraId="1D2D2815" w14:textId="77777777" w:rsidR="009A756C" w:rsidRPr="006D06E6" w:rsidRDefault="009A756C" w:rsidP="009A756C">
            <w:pPr>
              <w:jc w:val="both"/>
              <w:rPr>
                <w:rFonts w:eastAsia="Times New Roman" w:cs="Times New Roman"/>
                <w:sz w:val="24"/>
                <w:szCs w:val="24"/>
              </w:rPr>
            </w:pPr>
            <w:r w:rsidRPr="006D06E6">
              <w:rPr>
                <w:rFonts w:eastAsia="Times New Roman" w:cs="Times New Roman"/>
                <w:sz w:val="24"/>
                <w:szCs w:val="24"/>
              </w:rPr>
              <w:t>Khoản 3 xử lý nhóm trường hợp khác, là các đề xuất hỗ trợ dự án đổi mới sáng tạo, dự án khởi nghiệp sáng tạo đã phát sinh theo Nghị quyết số 20/2023/NQ-HĐND và Nghị quyết số 412/NQ-HĐND nhưng không thuộc trường hợp chuyển tiếp tại khoản 1 và khoản 2, đến thời điểm Nghị quyết mới có hiệu lực vẫn chưa được cấp có thẩm quyền phê duyệt nhiệm vụ. Đối với nhóm này, do chưa có quyết định phê duyệt nhiệm vụ và Nghị quyết số 20/2023/NQ-HĐND, Nghị quyết số 412/NQ-HĐND sẽ hết hiệu lực khi Nghị quyết mới có hiệu lực, việc tiếp tục xem xét theo Nghị quyết mới là cần thiết để xác định rõ căn cứ pháp lý xử lý hồ sơ, tránh tiếp tục áp dụng chính sách đã hết hiệu lực hoặc phát sinh khoảng trống trong quá trình chuyển tiếp.</w:t>
            </w:r>
          </w:p>
          <w:p w14:paraId="68675FD4" w14:textId="77777777" w:rsidR="009A756C" w:rsidRPr="006D06E6" w:rsidRDefault="009A756C" w:rsidP="009A756C">
            <w:pPr>
              <w:jc w:val="both"/>
              <w:rPr>
                <w:rFonts w:eastAsia="Times New Roman" w:cs="Times New Roman"/>
                <w:sz w:val="24"/>
                <w:szCs w:val="24"/>
              </w:rPr>
            </w:pPr>
            <w:r w:rsidRPr="006D06E6">
              <w:rPr>
                <w:rFonts w:eastAsia="Times New Roman" w:cs="Times New Roman"/>
                <w:sz w:val="24"/>
                <w:szCs w:val="24"/>
              </w:rPr>
              <w:lastRenderedPageBreak/>
              <w:t xml:space="preserve">Quy định </w:t>
            </w:r>
            <w:r w:rsidRPr="006D06E6">
              <w:rPr>
                <w:rFonts w:eastAsia="Times New Roman" w:cs="Times New Roman"/>
                <w:b/>
                <w:bCs/>
                <w:sz w:val="24"/>
                <w:szCs w:val="24"/>
              </w:rPr>
              <w:t>“Trừ trường hợp quy định tại khoản 1 và khoản 2 Điều này”</w:t>
            </w:r>
            <w:r w:rsidRPr="006D06E6">
              <w:rPr>
                <w:rFonts w:eastAsia="Times New Roman" w:cs="Times New Roman"/>
                <w:sz w:val="24"/>
                <w:szCs w:val="24"/>
              </w:rPr>
              <w:t xml:space="preserve"> tại khoản 3 nhằm phân định rõ phạm vi áp dụng: các trường hợp thuộc quy định chuyển tiếp của Luật và Nghị định số 267/2025/NĐ-CP tiếp tục được xử lý theo văn bản cấp trên; chỉ các đề xuất còn lại theo Nghị quyết số 20/2023/NQ-HĐND, Nghị quyết số 412/NQ-HĐND chưa được phê duyệt tại thời điểm Nghị quyết mới có hiệu lực mới chuyển sang áp dụng Nghị quyết mới.</w:t>
            </w:r>
          </w:p>
          <w:p w14:paraId="60D43CAD" w14:textId="77777777" w:rsidR="009A756C" w:rsidRPr="006D06E6" w:rsidRDefault="009A756C" w:rsidP="009A756C">
            <w:pPr>
              <w:jc w:val="both"/>
              <w:rPr>
                <w:rFonts w:eastAsia="Times New Roman" w:cs="Times New Roman"/>
                <w:sz w:val="24"/>
                <w:szCs w:val="24"/>
              </w:rPr>
            </w:pPr>
            <w:r w:rsidRPr="006D06E6">
              <w:rPr>
                <w:rFonts w:eastAsia="Times New Roman" w:cs="Times New Roman"/>
                <w:b/>
                <w:bCs/>
                <w:sz w:val="24"/>
                <w:szCs w:val="24"/>
              </w:rPr>
              <w:t>Về thực tiễn</w:t>
            </w:r>
            <w:r w:rsidRPr="006D06E6">
              <w:rPr>
                <w:rFonts w:eastAsia="Times New Roman" w:cs="Times New Roman"/>
                <w:sz w:val="24"/>
                <w:szCs w:val="24"/>
              </w:rPr>
              <w:t xml:space="preserve">, hiện còn các nhiệm vụ đã được phê duyệt nhưng chưa hoàn tất việc ký hợp đồng và </w:t>
            </w:r>
            <w:r w:rsidRPr="006D06E6">
              <w:rPr>
                <w:rFonts w:eastAsia="Times New Roman" w:cs="Times New Roman"/>
                <w:b/>
                <w:bCs/>
                <w:sz w:val="24"/>
                <w:szCs w:val="24"/>
              </w:rPr>
              <w:t>02 đề xuất đã tiếp nhận nhưng chưa được phê duyệt nhiệm vụ</w:t>
            </w:r>
            <w:r w:rsidRPr="006D06E6">
              <w:rPr>
                <w:rFonts w:eastAsia="Times New Roman" w:cs="Times New Roman"/>
                <w:sz w:val="24"/>
                <w:szCs w:val="24"/>
              </w:rPr>
              <w:t>. Hồ sơ bàn giao cũng ghi nhận nhiều trường hợp “Quỹ chưa ký HĐ” và 02 trường hợp chưa được duyệt. Vì vậy, việc giữ quy định chuyển tiếp theo từng trạng thái pháp lý của hồ sơ là cần thiết để có căn cứ xử lý liên tục và thống nhất.</w:t>
            </w:r>
          </w:p>
          <w:p w14:paraId="4928B1EE" w14:textId="77777777" w:rsidR="00321436" w:rsidRPr="006D06E6" w:rsidRDefault="009A756C" w:rsidP="009A756C">
            <w:pPr>
              <w:jc w:val="both"/>
              <w:rPr>
                <w:rFonts w:eastAsia="Times New Roman" w:cs="Times New Roman"/>
                <w:sz w:val="24"/>
                <w:szCs w:val="24"/>
              </w:rPr>
            </w:pPr>
            <w:r w:rsidRPr="006D06E6">
              <w:rPr>
                <w:rFonts w:eastAsia="Times New Roman" w:cs="Times New Roman"/>
                <w:sz w:val="24"/>
                <w:szCs w:val="24"/>
              </w:rPr>
              <w:t xml:space="preserve">Việc quy định tại khoản 3 </w:t>
            </w:r>
            <w:r w:rsidRPr="006D06E6">
              <w:rPr>
                <w:rFonts w:eastAsia="Times New Roman" w:cs="Times New Roman"/>
                <w:b/>
                <w:bCs/>
                <w:sz w:val="24"/>
                <w:szCs w:val="24"/>
              </w:rPr>
              <w:t>“áp dụng theo quy định của Nghị quyết này” không có nghĩa hồ sơ cũ mặc nhiên được phê duyệt hoặc mặc nhiên đáp ứng chính sách mới</w:t>
            </w:r>
            <w:r w:rsidRPr="006D06E6">
              <w:rPr>
                <w:rFonts w:eastAsia="Times New Roman" w:cs="Times New Roman"/>
                <w:sz w:val="24"/>
                <w:szCs w:val="24"/>
              </w:rPr>
              <w:t>. Các đề xuất phải được tiếp tục xem xét theo phạm vi, đối tượng, tiêu chí, điều kiện, nội dung và mức hỗ trợ của Nghị quyết mới và quy định quản lý nhiệm vụ có hiệu lực tại thời điểm xem xét, phê duyệt.</w:t>
            </w:r>
          </w:p>
        </w:tc>
      </w:tr>
      <w:tr w:rsidR="006D06E6" w:rsidRPr="006D06E6" w14:paraId="2AD5D6CF" w14:textId="77777777" w:rsidTr="00B562A6">
        <w:tc>
          <w:tcPr>
            <w:tcW w:w="1900" w:type="dxa"/>
            <w:tcMar>
              <w:top w:w="55" w:type="dxa"/>
              <w:left w:w="70" w:type="dxa"/>
              <w:bottom w:w="55" w:type="dxa"/>
              <w:right w:w="70" w:type="dxa"/>
            </w:tcMar>
          </w:tcPr>
          <w:p w14:paraId="3CFE2578" w14:textId="77777777" w:rsidR="00321436" w:rsidRPr="006D06E6" w:rsidRDefault="00321436"/>
        </w:tc>
        <w:tc>
          <w:tcPr>
            <w:tcW w:w="1644" w:type="dxa"/>
            <w:vMerge/>
            <w:tcMar>
              <w:top w:w="55" w:type="dxa"/>
              <w:left w:w="70" w:type="dxa"/>
              <w:bottom w:w="55" w:type="dxa"/>
              <w:right w:w="70" w:type="dxa"/>
            </w:tcMar>
          </w:tcPr>
          <w:p w14:paraId="7CF03D96" w14:textId="77777777" w:rsidR="00321436" w:rsidRPr="006D06E6" w:rsidRDefault="00321436"/>
        </w:tc>
        <w:tc>
          <w:tcPr>
            <w:tcW w:w="5812" w:type="dxa"/>
            <w:tcMar>
              <w:top w:w="55" w:type="dxa"/>
              <w:left w:w="70" w:type="dxa"/>
              <w:bottom w:w="55" w:type="dxa"/>
              <w:right w:w="70" w:type="dxa"/>
            </w:tcMar>
          </w:tcPr>
          <w:p w14:paraId="2777B142"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3.7. Về nguồn kinh phí thực hiện </w:t>
            </w:r>
          </w:p>
          <w:p w14:paraId="35D7FDEE"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Tại dự thảo Tờ trình, Sở Khoa học và Công nghệ dự kiến về mức kinh phí sử dụng hàng năm như sau: “</w:t>
            </w:r>
            <w:r w:rsidRPr="006D06E6">
              <w:rPr>
                <w:rFonts w:cs="Times New Roman"/>
                <w:i/>
                <w:iCs/>
                <w:spacing w:val="-4"/>
                <w:sz w:val="24"/>
                <w:szCs w:val="24"/>
              </w:rPr>
              <w:t xml:space="preserve">Theo phương án trên, tổng kinh phí dự kiến theo mức hỗ trợ hiện hành là 48.000 triệu đồng/năm; theo mức hỗ trợ mới là 60.000 triệu đông năm, tăng 12.000 triệu đồng/năm, tương ứng 25%. Đây </w:t>
            </w:r>
            <w:r w:rsidRPr="006D06E6">
              <w:rPr>
                <w:rFonts w:cs="Times New Roman"/>
                <w:i/>
                <w:iCs/>
                <w:spacing w:val="-4"/>
                <w:sz w:val="24"/>
                <w:szCs w:val="24"/>
              </w:rPr>
              <w:lastRenderedPageBreak/>
              <w:t>là dự toán được xác định theo số lượng dự án dự kiến hỗ trợ và mức hỗ trợ quy định tại dự thảo Nghị quyết; kinh phí thực tế phụ thuộc vào số lượng dự án được tuyển chọn theo từng giai đoạn và được bố trí trong phạm vi dự toán ngân sách hằng năm được cấp có thẩm quyền giao</w:t>
            </w:r>
            <w:r w:rsidRPr="006D06E6">
              <w:rPr>
                <w:rFonts w:cs="Times New Roman"/>
                <w:spacing w:val="-4"/>
                <w:sz w:val="24"/>
                <w:szCs w:val="24"/>
              </w:rPr>
              <w:t xml:space="preserve">.” Theo đó, về vấn đề đảm bảo nguồn ngân sách cho các văn bản triển khai thi hành Luật Phát triển đô thị, Sở Tài chính đã có Công văn số 22624/STC-HCNS ngày 11/8/2026 về dự kiến nguồn lực từ nguồn chi thường xuyên ngân sách Thành phố để thực hiện các cơ chế, chính sách trong các văn bản triển khai Luật Đô thị đặc biệt gửi các Sở- ban - ngành Thành phố; do vậy, để Sở Tài chính có cơ sở xem xét, cân đối nguồn lực, đề nghị Sở Khoa học và Công nghệ lấy ý kiến thống nhất của Sở Tài chính về việc đảm bảo cân đối nguồn lực cho các chính sách được quy định tại dự thảo Nghị quyết sau khi được ban hành (nếu có). </w:t>
            </w:r>
          </w:p>
        </w:tc>
        <w:tc>
          <w:tcPr>
            <w:tcW w:w="5953" w:type="dxa"/>
            <w:tcMar>
              <w:top w:w="55" w:type="dxa"/>
              <w:left w:w="70" w:type="dxa"/>
              <w:bottom w:w="55" w:type="dxa"/>
              <w:right w:w="70" w:type="dxa"/>
            </w:tcMar>
          </w:tcPr>
          <w:p w14:paraId="3A355BD8" w14:textId="77777777" w:rsidR="00321436" w:rsidRPr="006D06E6" w:rsidRDefault="00F3794D">
            <w:pPr>
              <w:jc w:val="both"/>
            </w:pPr>
            <w:r w:rsidRPr="006D06E6">
              <w:rPr>
                <w:b/>
                <w:sz w:val="24"/>
              </w:rPr>
              <w:lastRenderedPageBreak/>
              <w:t>Tiếp thu.</w:t>
            </w:r>
          </w:p>
          <w:p w14:paraId="2C1132C7" w14:textId="77777777" w:rsidR="00321436" w:rsidRPr="006D06E6" w:rsidRDefault="00F3794D">
            <w:pPr>
              <w:jc w:val="both"/>
            </w:pPr>
            <w:r w:rsidRPr="006D06E6">
              <w:rPr>
                <w:sz w:val="24"/>
              </w:rPr>
              <w:t xml:space="preserve">Sở Khoa học và Công nghệ đã gửi lấy ý kiến Sở Tài chính trong quá trình xây dựng hồ sơ. Tại lần lấy ý kiến thứ nhất, Sở Tài chính đã góp ý về cơ sở xác định mức hỗ trợ, nguồn kinh phí, dự kiến nguồn lực và khả năng cân đối ngân sách; các nội dung này đã được tiếp thu, bổ sung trong Tờ trình và </w:t>
            </w:r>
            <w:r w:rsidRPr="006D06E6">
              <w:rPr>
                <w:sz w:val="24"/>
              </w:rPr>
              <w:lastRenderedPageBreak/>
              <w:t>hồ sơ. Tại lần lấy ý kiến thứ hai, đến thời điểm tổng hợp, Sở Tài chính không có ý kiến góp ý bổ sung. Trường hợp có ý kiến gửi sau thời điểm tổng hợp, cơ quan soạn thảo tiếp tục cập nhật vào hồ sơ trình cấp có thẩm quyền.</w:t>
            </w:r>
          </w:p>
        </w:tc>
      </w:tr>
      <w:tr w:rsidR="006D06E6" w:rsidRPr="006D06E6" w14:paraId="670B1455" w14:textId="77777777" w:rsidTr="00B562A6">
        <w:tc>
          <w:tcPr>
            <w:tcW w:w="1900" w:type="dxa"/>
            <w:tcMar>
              <w:top w:w="55" w:type="dxa"/>
              <w:left w:w="70" w:type="dxa"/>
              <w:bottom w:w="55" w:type="dxa"/>
              <w:right w:w="70" w:type="dxa"/>
            </w:tcMar>
          </w:tcPr>
          <w:p w14:paraId="689E86DB" w14:textId="77777777" w:rsidR="00321436" w:rsidRPr="006D06E6" w:rsidRDefault="00321436"/>
        </w:tc>
        <w:tc>
          <w:tcPr>
            <w:tcW w:w="1644" w:type="dxa"/>
            <w:vMerge/>
            <w:tcMar>
              <w:top w:w="55" w:type="dxa"/>
              <w:left w:w="70" w:type="dxa"/>
              <w:bottom w:w="55" w:type="dxa"/>
              <w:right w:w="70" w:type="dxa"/>
            </w:tcMar>
          </w:tcPr>
          <w:p w14:paraId="24A88096" w14:textId="77777777" w:rsidR="00321436" w:rsidRPr="006D06E6" w:rsidRDefault="00321436"/>
        </w:tc>
        <w:tc>
          <w:tcPr>
            <w:tcW w:w="5812" w:type="dxa"/>
            <w:tcMar>
              <w:top w:w="55" w:type="dxa"/>
              <w:left w:w="70" w:type="dxa"/>
              <w:bottom w:w="55" w:type="dxa"/>
              <w:right w:w="70" w:type="dxa"/>
            </w:tcMar>
          </w:tcPr>
          <w:p w14:paraId="6F59CC16" w14:textId="77777777" w:rsidR="00E25256" w:rsidRPr="006D06E6" w:rsidRDefault="00E25256" w:rsidP="00E25256">
            <w:pPr>
              <w:spacing w:before="60"/>
              <w:jc w:val="both"/>
              <w:rPr>
                <w:rFonts w:cs="Times New Roman"/>
                <w:b/>
                <w:bCs/>
                <w:spacing w:val="-4"/>
                <w:sz w:val="24"/>
                <w:szCs w:val="24"/>
              </w:rPr>
            </w:pPr>
            <w:r w:rsidRPr="006D06E6">
              <w:rPr>
                <w:rFonts w:cs="Times New Roman"/>
                <w:b/>
                <w:bCs/>
                <w:spacing w:val="-4"/>
                <w:sz w:val="24"/>
                <w:szCs w:val="24"/>
              </w:rPr>
              <w:t xml:space="preserve">4. Về thể thức, kỹ thuật trình bày Nghị quyết </w:t>
            </w:r>
          </w:p>
          <w:p w14:paraId="62F760C6" w14:textId="77777777" w:rsidR="00E25256" w:rsidRPr="006D06E6" w:rsidRDefault="00E25256" w:rsidP="00E25256">
            <w:pPr>
              <w:spacing w:before="60"/>
              <w:jc w:val="both"/>
              <w:rPr>
                <w:rFonts w:cs="Times New Roman"/>
                <w:spacing w:val="-4"/>
                <w:sz w:val="24"/>
                <w:szCs w:val="24"/>
              </w:rPr>
            </w:pPr>
            <w:r w:rsidRPr="006D06E6">
              <w:rPr>
                <w:rFonts w:cs="Times New Roman"/>
                <w:spacing w:val="-4"/>
                <w:sz w:val="24"/>
                <w:szCs w:val="24"/>
              </w:rPr>
              <w:t>- Về căn cứ ban hành: đề nghị điều chỉnh “</w:t>
            </w:r>
            <w:r w:rsidRPr="006D06E6">
              <w:rPr>
                <w:rFonts w:cs="Times New Roman"/>
                <w:i/>
                <w:iCs/>
                <w:spacing w:val="-4"/>
                <w:sz w:val="24"/>
                <w:szCs w:val="24"/>
              </w:rPr>
              <w:t>Căn cứ Luật Phát triển đô thị số 18/2026/QH16 ngày 24 tháng 8 năm 2026</w:t>
            </w:r>
            <w:r w:rsidRPr="006D06E6">
              <w:rPr>
                <w:rFonts w:cs="Times New Roman"/>
                <w:spacing w:val="-4"/>
                <w:sz w:val="24"/>
                <w:szCs w:val="24"/>
              </w:rPr>
              <w:t>” thành “</w:t>
            </w:r>
            <w:r w:rsidRPr="006D06E6">
              <w:rPr>
                <w:rFonts w:cs="Times New Roman"/>
                <w:i/>
                <w:iCs/>
                <w:spacing w:val="-4"/>
                <w:sz w:val="24"/>
                <w:szCs w:val="24"/>
              </w:rPr>
              <w:t xml:space="preserve">Căn cứ Luật Phát triển đô thị số 18/2026/QH16 </w:t>
            </w:r>
            <w:r w:rsidRPr="006D06E6">
              <w:rPr>
                <w:rFonts w:cs="Times New Roman"/>
                <w:i/>
                <w:iCs/>
                <w:strike/>
                <w:spacing w:val="-4"/>
                <w:sz w:val="24"/>
                <w:szCs w:val="24"/>
              </w:rPr>
              <w:t>ngày 24 tháng 8 năm 2026</w:t>
            </w:r>
            <w:r w:rsidRPr="006D06E6">
              <w:rPr>
                <w:rFonts w:cs="Times New Roman"/>
                <w:spacing w:val="-4"/>
                <w:sz w:val="24"/>
                <w:szCs w:val="24"/>
              </w:rPr>
              <w:t xml:space="preserve">”; </w:t>
            </w:r>
          </w:p>
          <w:p w14:paraId="474884A4" w14:textId="77777777" w:rsidR="009546EA"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Về bố cục dự thảo: </w:t>
            </w:r>
          </w:p>
          <w:p w14:paraId="441552F5" w14:textId="77777777" w:rsidR="009546EA"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Đề nghị điều chỉnh thể thức trình bày tên khoản tại các Điều, cụ thể không in đậm </w:t>
            </w:r>
          </w:p>
          <w:p w14:paraId="011C5082" w14:textId="77777777" w:rsidR="009546EA"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Không bố cục văn bản bằng các ký tự như b1, b2, b3 (chỉ sử dụng trong văn bản sửa đổi, bổ sung) </w:t>
            </w:r>
          </w:p>
          <w:p w14:paraId="364933FD" w14:textId="77777777" w:rsidR="002A35C1" w:rsidRPr="006D06E6" w:rsidRDefault="00E25256" w:rsidP="00E25256">
            <w:pPr>
              <w:spacing w:before="60"/>
              <w:jc w:val="both"/>
              <w:rPr>
                <w:rFonts w:cs="Times New Roman"/>
                <w:spacing w:val="-4"/>
                <w:sz w:val="24"/>
                <w:szCs w:val="24"/>
              </w:rPr>
            </w:pPr>
            <w:r w:rsidRPr="006D06E6">
              <w:rPr>
                <w:rFonts w:cs="Times New Roman"/>
                <w:spacing w:val="-4"/>
                <w:sz w:val="24"/>
                <w:szCs w:val="24"/>
              </w:rPr>
              <w:t xml:space="preserve">+ Về dẫn chiếu văn bản: đề nghị nghiên cứu khoản 1 Điều 68 Nghị định số 78/2025/NĐ-CP được sửa đổi, bổ sung bởi Nghị </w:t>
            </w:r>
            <w:r w:rsidRPr="006D06E6">
              <w:rPr>
                <w:rFonts w:cs="Times New Roman"/>
                <w:spacing w:val="-4"/>
                <w:sz w:val="24"/>
                <w:szCs w:val="24"/>
              </w:rPr>
              <w:lastRenderedPageBreak/>
              <w:t>định số 187/2025/NĐ-CP để dẫn chiếu các văn bản quy phạm pháp luật tại dự thảo cho phù hợp</w:t>
            </w:r>
          </w:p>
        </w:tc>
        <w:tc>
          <w:tcPr>
            <w:tcW w:w="5953" w:type="dxa"/>
            <w:tcMar>
              <w:top w:w="55" w:type="dxa"/>
              <w:left w:w="70" w:type="dxa"/>
              <w:bottom w:w="55" w:type="dxa"/>
              <w:right w:w="70" w:type="dxa"/>
            </w:tcMar>
          </w:tcPr>
          <w:p w14:paraId="315C438F" w14:textId="77777777" w:rsidR="00321436" w:rsidRPr="006D06E6" w:rsidRDefault="00F3794D">
            <w:pPr>
              <w:jc w:val="both"/>
            </w:pPr>
            <w:r w:rsidRPr="006D06E6">
              <w:rPr>
                <w:b/>
                <w:sz w:val="24"/>
              </w:rPr>
              <w:lastRenderedPageBreak/>
              <w:t>Tiếp thu.</w:t>
            </w:r>
          </w:p>
          <w:p w14:paraId="3B98914D" w14:textId="77777777" w:rsidR="00321436" w:rsidRPr="006D06E6" w:rsidRDefault="00F3794D">
            <w:pPr>
              <w:jc w:val="both"/>
            </w:pPr>
            <w:r w:rsidRPr="006D06E6">
              <w:rPr>
                <w:sz w:val="24"/>
              </w:rPr>
              <w:t>Cơ quan soạn thảo đã rà soát căn cứ ban hành, cách dẫn chiếu, thể thức trình bày khoản, điểm và cấu trúc nội dung; không sử dụng ký hiệu b1, b2, b3; đồng thời tiếp tục rà soát lỗi kỹ thuật, chính tả và cách dẫn chiếu văn bản quy phạm pháp luật trước khi trình cấp có thẩm quyền.</w:t>
            </w:r>
          </w:p>
        </w:tc>
      </w:tr>
      <w:tr w:rsidR="006D06E6" w:rsidRPr="006D06E6" w14:paraId="6B198E2B" w14:textId="77777777" w:rsidTr="00B562A6">
        <w:tc>
          <w:tcPr>
            <w:tcW w:w="1900" w:type="dxa"/>
            <w:tcMar>
              <w:top w:w="55" w:type="dxa"/>
              <w:left w:w="70" w:type="dxa"/>
              <w:bottom w:w="55" w:type="dxa"/>
              <w:right w:w="70" w:type="dxa"/>
            </w:tcMar>
            <w:vAlign w:val="center"/>
          </w:tcPr>
          <w:p w14:paraId="2F17E728" w14:textId="77777777" w:rsidR="004E56B4" w:rsidRPr="006D06E6" w:rsidRDefault="00577EE0">
            <w:pPr>
              <w:rPr>
                <w:rFonts w:cs="Times New Roman"/>
                <w:sz w:val="24"/>
                <w:szCs w:val="24"/>
              </w:rPr>
            </w:pPr>
            <w:r w:rsidRPr="006D06E6">
              <w:rPr>
                <w:rFonts w:eastAsia="Times New Roman"/>
                <w:sz w:val="24"/>
              </w:rPr>
              <w:t>Điều 2. Đối tượng áp dụng - doanh nghiệp</w:t>
            </w:r>
          </w:p>
        </w:tc>
        <w:tc>
          <w:tcPr>
            <w:tcW w:w="1644" w:type="dxa"/>
            <w:tcMar>
              <w:top w:w="55" w:type="dxa"/>
              <w:left w:w="70" w:type="dxa"/>
              <w:bottom w:w="55" w:type="dxa"/>
              <w:right w:w="70" w:type="dxa"/>
            </w:tcMar>
            <w:vAlign w:val="center"/>
          </w:tcPr>
          <w:p w14:paraId="430BC10C" w14:textId="77777777" w:rsidR="002A35C1" w:rsidRPr="006D06E6" w:rsidRDefault="002A35C1" w:rsidP="002A35C1">
            <w:pPr>
              <w:jc w:val="center"/>
              <w:rPr>
                <w:rFonts w:cs="Times New Roman"/>
                <w:sz w:val="24"/>
                <w:szCs w:val="24"/>
              </w:rPr>
            </w:pPr>
            <w:r w:rsidRPr="006D06E6">
              <w:rPr>
                <w:rFonts w:eastAsia="Times New Roman"/>
                <w:sz w:val="24"/>
              </w:rPr>
              <w:t>Ban Quản lý Khu nông nghiệp công nghệ cao, Công văn số 1582/NNCNC-QLKHĐT ngày 03/9/2026</w:t>
            </w:r>
          </w:p>
        </w:tc>
        <w:tc>
          <w:tcPr>
            <w:tcW w:w="5812" w:type="dxa"/>
            <w:tcMar>
              <w:top w:w="55" w:type="dxa"/>
              <w:left w:w="70" w:type="dxa"/>
              <w:bottom w:w="55" w:type="dxa"/>
              <w:right w:w="70" w:type="dxa"/>
            </w:tcMar>
            <w:vAlign w:val="center"/>
          </w:tcPr>
          <w:p w14:paraId="34F9C932" w14:textId="77777777" w:rsidR="00E66941" w:rsidRPr="006D06E6" w:rsidRDefault="00E66941" w:rsidP="00E66941">
            <w:pPr>
              <w:pStyle w:val="ListParagraph"/>
              <w:numPr>
                <w:ilvl w:val="0"/>
                <w:numId w:val="3"/>
              </w:numPr>
              <w:tabs>
                <w:tab w:val="left" w:pos="322"/>
              </w:tabs>
              <w:ind w:left="0" w:firstLine="0"/>
              <w:jc w:val="both"/>
              <w:rPr>
                <w:rFonts w:eastAsia="Times New Roman" w:cs="Times New Roman"/>
                <w:bCs/>
                <w:i/>
                <w:iCs/>
                <w:sz w:val="24"/>
                <w:szCs w:val="24"/>
              </w:rPr>
            </w:pPr>
            <w:r w:rsidRPr="006D06E6">
              <w:rPr>
                <w:rFonts w:eastAsia="Times New Roman"/>
                <w:sz w:val="24"/>
              </w:rPr>
              <w:t>Tại khoản 1 Điều 2, đề nghị mở rộng đối tượng đối với doanh nghiệp có trụ sở chính ngoài Thành phố nhưng có chi nhánh đặt tại Thành phố Hồ Chí Minh và cam kết triển khai dự án trên địa bàn Thành phố trong suốt thời gian được hỗ trợ.</w:t>
            </w:r>
          </w:p>
        </w:tc>
        <w:tc>
          <w:tcPr>
            <w:tcW w:w="5953" w:type="dxa"/>
            <w:tcMar>
              <w:top w:w="55" w:type="dxa"/>
              <w:left w:w="70" w:type="dxa"/>
              <w:bottom w:w="55" w:type="dxa"/>
              <w:right w:w="70" w:type="dxa"/>
            </w:tcMar>
            <w:vAlign w:val="center"/>
          </w:tcPr>
          <w:p w14:paraId="6DA842DA" w14:textId="77777777" w:rsidR="00016FAE" w:rsidRPr="006D06E6" w:rsidRDefault="007B3C55" w:rsidP="002A35C1">
            <w:pPr>
              <w:jc w:val="both"/>
              <w:rPr>
                <w:rFonts w:eastAsia="Times New Roman" w:cs="Times New Roman"/>
                <w:sz w:val="24"/>
                <w:szCs w:val="24"/>
              </w:rPr>
            </w:pPr>
            <w:r w:rsidRPr="006D06E6">
              <w:rPr>
                <w:sz w:val="24"/>
              </w:rPr>
              <w:t xml:space="preserve">Ghi nhận ý kiến. Tuy nhiên, </w:t>
            </w:r>
            <w:r w:rsidR="002A35C1" w:rsidRPr="006D06E6">
              <w:rPr>
                <w:rFonts w:eastAsia="Times New Roman"/>
                <w:sz w:val="24"/>
              </w:rPr>
              <w:t>Dự thảo giữ điều kiện doanh nghiệp có trụ sở chính và hoạt động thực tế trên địa bàn Thành phố để xác định rõ đối tượng thụ hưởng, bảo đảm nguồn ngân sách Thành phố tập trung cho hệ sinh thái khởi nghiệp sáng tạo trên địa bàn và hạn chế giao thoa với chính sách của địa phương khác.</w:t>
            </w:r>
          </w:p>
        </w:tc>
      </w:tr>
      <w:tr w:rsidR="006D06E6" w:rsidRPr="006D06E6" w14:paraId="08FD1F04" w14:textId="77777777" w:rsidTr="00B562A6">
        <w:tc>
          <w:tcPr>
            <w:tcW w:w="1900" w:type="dxa"/>
            <w:tcMar>
              <w:top w:w="55" w:type="dxa"/>
              <w:left w:w="70" w:type="dxa"/>
              <w:bottom w:w="55" w:type="dxa"/>
              <w:right w:w="70" w:type="dxa"/>
            </w:tcMar>
            <w:vAlign w:val="center"/>
          </w:tcPr>
          <w:p w14:paraId="4E6FF3E4" w14:textId="77777777" w:rsidR="004E56B4" w:rsidRPr="006D06E6" w:rsidRDefault="00577EE0">
            <w:pPr>
              <w:rPr>
                <w:rFonts w:cs="Times New Roman"/>
                <w:sz w:val="24"/>
                <w:szCs w:val="24"/>
              </w:rPr>
            </w:pPr>
            <w:r w:rsidRPr="006D06E6">
              <w:rPr>
                <w:rFonts w:eastAsia="Times New Roman"/>
                <w:sz w:val="24"/>
              </w:rPr>
              <w:t>Điều 2. Đối tượng áp dụng - trung tâm ươm tạo</w:t>
            </w:r>
          </w:p>
        </w:tc>
        <w:tc>
          <w:tcPr>
            <w:tcW w:w="1644" w:type="dxa"/>
            <w:tcMar>
              <w:top w:w="55" w:type="dxa"/>
              <w:left w:w="70" w:type="dxa"/>
              <w:bottom w:w="55" w:type="dxa"/>
              <w:right w:w="70" w:type="dxa"/>
            </w:tcMar>
            <w:vAlign w:val="center"/>
          </w:tcPr>
          <w:p w14:paraId="37EC5DCD" w14:textId="77777777" w:rsidR="002A35C1" w:rsidRPr="006D06E6" w:rsidRDefault="002A35C1" w:rsidP="002A35C1">
            <w:pPr>
              <w:jc w:val="center"/>
              <w:rPr>
                <w:rFonts w:cs="Times New Roman"/>
                <w:sz w:val="24"/>
                <w:szCs w:val="24"/>
              </w:rPr>
            </w:pPr>
            <w:r w:rsidRPr="006D06E6">
              <w:rPr>
                <w:rFonts w:eastAsia="Times New Roman"/>
                <w:sz w:val="24"/>
              </w:rPr>
              <w:t>Ban Quản lý Khu nông nghiệp công nghệ cao, Công văn số 1582/NNCNC-QLKHĐT ngày 03/9/2026</w:t>
            </w:r>
          </w:p>
        </w:tc>
        <w:tc>
          <w:tcPr>
            <w:tcW w:w="5812" w:type="dxa"/>
            <w:tcMar>
              <w:top w:w="55" w:type="dxa"/>
              <w:left w:w="70" w:type="dxa"/>
              <w:bottom w:w="55" w:type="dxa"/>
              <w:right w:w="70" w:type="dxa"/>
            </w:tcMar>
            <w:vAlign w:val="center"/>
          </w:tcPr>
          <w:p w14:paraId="01D75180" w14:textId="77777777" w:rsidR="00E66941" w:rsidRPr="006D06E6" w:rsidRDefault="00E66941" w:rsidP="00E66941">
            <w:pPr>
              <w:pStyle w:val="ListParagraph"/>
              <w:numPr>
                <w:ilvl w:val="0"/>
                <w:numId w:val="3"/>
              </w:numPr>
              <w:tabs>
                <w:tab w:val="left" w:pos="322"/>
              </w:tabs>
              <w:ind w:left="0" w:firstLine="0"/>
              <w:jc w:val="both"/>
              <w:rPr>
                <w:rFonts w:eastAsia="Times New Roman" w:cs="Times New Roman"/>
                <w:bCs/>
                <w:i/>
                <w:iCs/>
                <w:sz w:val="24"/>
                <w:szCs w:val="24"/>
              </w:rPr>
            </w:pPr>
            <w:r w:rsidRPr="006D06E6">
              <w:rPr>
                <w:rFonts w:eastAsia="Times New Roman"/>
                <w:sz w:val="24"/>
              </w:rPr>
              <w:t>Tại khoản 2 Điều 2, đề nghị xác định trung tâm đổi mới sáng tạo, trung tâm hỗ trợ khởi nghiệp sáng tạo (gọi tắt là trung tâm ươm tạo) theo Nghị định số 268/2025/NĐ-CP trên địa bàn Thành phố Hồ Chí Minh.</w:t>
            </w:r>
          </w:p>
        </w:tc>
        <w:tc>
          <w:tcPr>
            <w:tcW w:w="5953" w:type="dxa"/>
            <w:tcMar>
              <w:top w:w="55" w:type="dxa"/>
              <w:left w:w="70" w:type="dxa"/>
              <w:bottom w:w="55" w:type="dxa"/>
              <w:right w:w="70" w:type="dxa"/>
            </w:tcMar>
            <w:vAlign w:val="center"/>
          </w:tcPr>
          <w:p w14:paraId="3C5E4EAD" w14:textId="77777777" w:rsidR="00016FAE" w:rsidRPr="006D06E6" w:rsidRDefault="002A35C1" w:rsidP="002A35C1">
            <w:pPr>
              <w:jc w:val="both"/>
              <w:rPr>
                <w:rFonts w:eastAsia="Times New Roman" w:cs="Times New Roman"/>
                <w:sz w:val="24"/>
                <w:szCs w:val="24"/>
              </w:rPr>
            </w:pPr>
            <w:r w:rsidRPr="006D06E6">
              <w:rPr>
                <w:rFonts w:eastAsia="Times New Roman"/>
                <w:sz w:val="24"/>
              </w:rPr>
              <w:t>Tiếp thu một phần. Dự thảo làm rõ trung tâm đổi mới sáng tạo, trung tâm hỗ trợ khởi nghiệp sáng tạo phải được công nhận theo quy định của Luật Khoa học, công nghệ và đổi mới sáng tạo, có tư cách pháp nhân và hoạt động trên địa bàn Thành phố. Không mở rộng sang mọi cơ sở ươm tạo hoặc tổ chức hỗ trợ khởi nghiệp chưa có tư cách pháp lý tương ứng.</w:t>
            </w:r>
          </w:p>
        </w:tc>
      </w:tr>
      <w:tr w:rsidR="006D06E6" w:rsidRPr="006D06E6" w14:paraId="65EE6E15" w14:textId="77777777" w:rsidTr="00B562A6">
        <w:tc>
          <w:tcPr>
            <w:tcW w:w="1900" w:type="dxa"/>
            <w:tcMar>
              <w:top w:w="55" w:type="dxa"/>
              <w:left w:w="70" w:type="dxa"/>
              <w:bottom w:w="55" w:type="dxa"/>
              <w:right w:w="70" w:type="dxa"/>
            </w:tcMar>
            <w:vAlign w:val="center"/>
          </w:tcPr>
          <w:p w14:paraId="719B909A" w14:textId="77777777" w:rsidR="004E56B4" w:rsidRPr="006D06E6" w:rsidRDefault="00577EE0">
            <w:pPr>
              <w:rPr>
                <w:rFonts w:cs="Times New Roman"/>
                <w:sz w:val="24"/>
                <w:szCs w:val="24"/>
              </w:rPr>
            </w:pPr>
            <w:r w:rsidRPr="006D06E6">
              <w:rPr>
                <w:rFonts w:eastAsia="Times New Roman"/>
                <w:sz w:val="24"/>
              </w:rPr>
              <w:t>Điều 6. Điều kiện đối với doanh nghiệp</w:t>
            </w:r>
          </w:p>
        </w:tc>
        <w:tc>
          <w:tcPr>
            <w:tcW w:w="1644" w:type="dxa"/>
            <w:tcMar>
              <w:top w:w="55" w:type="dxa"/>
              <w:left w:w="70" w:type="dxa"/>
              <w:bottom w:w="55" w:type="dxa"/>
              <w:right w:w="70" w:type="dxa"/>
            </w:tcMar>
            <w:vAlign w:val="center"/>
          </w:tcPr>
          <w:p w14:paraId="78074DF7" w14:textId="77777777" w:rsidR="004E56B4" w:rsidRPr="006D06E6" w:rsidRDefault="004E56B4">
            <w:pPr>
              <w:jc w:val="center"/>
              <w:rPr>
                <w:sz w:val="24"/>
                <w:szCs w:val="24"/>
              </w:rPr>
            </w:pPr>
            <w:r w:rsidRPr="006D06E6">
              <w:rPr>
                <w:rFonts w:eastAsia="Times New Roman"/>
                <w:sz w:val="24"/>
              </w:rPr>
              <w:t>Ban Quản lý Khu nông nghiệp công nghệ cao, Công văn số 1582/NNCNC-QLKHĐT ngày 03/9/2026</w:t>
            </w:r>
          </w:p>
        </w:tc>
        <w:tc>
          <w:tcPr>
            <w:tcW w:w="5812" w:type="dxa"/>
            <w:tcMar>
              <w:top w:w="55" w:type="dxa"/>
              <w:left w:w="70" w:type="dxa"/>
              <w:bottom w:w="55" w:type="dxa"/>
              <w:right w:w="70" w:type="dxa"/>
            </w:tcMar>
            <w:vAlign w:val="center"/>
          </w:tcPr>
          <w:p w14:paraId="4B46FDD5" w14:textId="77777777" w:rsidR="00E66941" w:rsidRPr="006D06E6" w:rsidRDefault="00E66941" w:rsidP="00E66941">
            <w:pPr>
              <w:tabs>
                <w:tab w:val="left" w:pos="322"/>
              </w:tabs>
              <w:jc w:val="both"/>
              <w:rPr>
                <w:rFonts w:cs="Times New Roman"/>
                <w:b/>
                <w:bCs/>
                <w:i/>
                <w:iCs/>
                <w:sz w:val="24"/>
                <w:szCs w:val="24"/>
              </w:rPr>
            </w:pPr>
            <w:r w:rsidRPr="006D06E6">
              <w:rPr>
                <w:rFonts w:eastAsia="Times New Roman"/>
                <w:sz w:val="24"/>
              </w:rPr>
              <w:t>Tại điểm b khoản 1 Điều 6, đề nghị cho phép doanh nghiệp có trụ sở chính hoặc chi nhánh đang triển khai dự án thực tế trên địa bàn Thành phố Hồ Chí Minh.</w:t>
            </w:r>
          </w:p>
        </w:tc>
        <w:tc>
          <w:tcPr>
            <w:tcW w:w="5953" w:type="dxa"/>
            <w:tcMar>
              <w:top w:w="55" w:type="dxa"/>
              <w:left w:w="70" w:type="dxa"/>
              <w:bottom w:w="55" w:type="dxa"/>
              <w:right w:w="70" w:type="dxa"/>
            </w:tcMar>
            <w:vAlign w:val="center"/>
          </w:tcPr>
          <w:p w14:paraId="7D84AD04" w14:textId="77777777" w:rsidR="002A35C1" w:rsidRPr="006D06E6" w:rsidRDefault="007B3C55" w:rsidP="002A35C1">
            <w:pPr>
              <w:jc w:val="both"/>
              <w:rPr>
                <w:rFonts w:cs="Times New Roman"/>
                <w:sz w:val="24"/>
                <w:szCs w:val="24"/>
              </w:rPr>
            </w:pPr>
            <w:r w:rsidRPr="006D06E6">
              <w:rPr>
                <w:sz w:val="24"/>
              </w:rPr>
              <w:t xml:space="preserve">Ghi nhận ý kiến. Tuy nhiên, </w:t>
            </w:r>
            <w:r w:rsidR="002A35C1" w:rsidRPr="006D06E6">
              <w:rPr>
                <w:rFonts w:eastAsia="Times New Roman"/>
                <w:sz w:val="24"/>
              </w:rPr>
              <w:t>Dự thảo giữ điều kiện doanh nghiệp có trụ sở chính và hoạt động thực tế trên địa bàn Thành phố; không mở rộng sang trường hợp chỉ có chi nhánh.</w:t>
            </w:r>
          </w:p>
        </w:tc>
      </w:tr>
      <w:tr w:rsidR="006D06E6" w:rsidRPr="006D06E6" w14:paraId="3A6617DA" w14:textId="77777777" w:rsidTr="00B562A6">
        <w:tc>
          <w:tcPr>
            <w:tcW w:w="1900" w:type="dxa"/>
            <w:tcMar>
              <w:top w:w="55" w:type="dxa"/>
              <w:left w:w="70" w:type="dxa"/>
              <w:bottom w:w="55" w:type="dxa"/>
              <w:right w:w="70" w:type="dxa"/>
            </w:tcMar>
            <w:vAlign w:val="center"/>
          </w:tcPr>
          <w:p w14:paraId="070210BF" w14:textId="77777777" w:rsidR="004E56B4" w:rsidRPr="006D06E6" w:rsidRDefault="00577EE0">
            <w:pPr>
              <w:rPr>
                <w:rFonts w:cs="Times New Roman"/>
                <w:sz w:val="24"/>
                <w:szCs w:val="24"/>
              </w:rPr>
            </w:pPr>
            <w:r w:rsidRPr="006D06E6">
              <w:rPr>
                <w:rFonts w:eastAsia="Times New Roman"/>
                <w:sz w:val="24"/>
              </w:rPr>
              <w:t xml:space="preserve">Điều 6. Trường hợp dự án được </w:t>
            </w:r>
            <w:r w:rsidRPr="006D06E6">
              <w:rPr>
                <w:rFonts w:eastAsia="Times New Roman"/>
                <w:sz w:val="24"/>
              </w:rPr>
              <w:lastRenderedPageBreak/>
              <w:t>lựa chọn qua cuộc thi, chương trình</w:t>
            </w:r>
          </w:p>
        </w:tc>
        <w:tc>
          <w:tcPr>
            <w:tcW w:w="1644" w:type="dxa"/>
            <w:tcMar>
              <w:top w:w="55" w:type="dxa"/>
              <w:left w:w="70" w:type="dxa"/>
              <w:bottom w:w="55" w:type="dxa"/>
              <w:right w:w="70" w:type="dxa"/>
            </w:tcMar>
            <w:vAlign w:val="center"/>
          </w:tcPr>
          <w:p w14:paraId="75491F30" w14:textId="77777777" w:rsidR="004E56B4" w:rsidRPr="006D06E6" w:rsidRDefault="004E56B4">
            <w:pPr>
              <w:jc w:val="center"/>
              <w:rPr>
                <w:sz w:val="24"/>
                <w:szCs w:val="24"/>
              </w:rPr>
            </w:pPr>
            <w:r w:rsidRPr="006D06E6">
              <w:rPr>
                <w:rFonts w:eastAsia="Times New Roman"/>
                <w:sz w:val="24"/>
              </w:rPr>
              <w:lastRenderedPageBreak/>
              <w:t xml:space="preserve">Ban Quản lý Khu nông nghiệp công </w:t>
            </w:r>
            <w:r w:rsidRPr="006D06E6">
              <w:rPr>
                <w:rFonts w:eastAsia="Times New Roman"/>
                <w:sz w:val="24"/>
              </w:rPr>
              <w:lastRenderedPageBreak/>
              <w:t>nghệ cao, Công văn số 1582/NNCNC-QLKHĐT ngày 03/9/2026</w:t>
            </w:r>
          </w:p>
        </w:tc>
        <w:tc>
          <w:tcPr>
            <w:tcW w:w="5812" w:type="dxa"/>
            <w:tcMar>
              <w:top w:w="55" w:type="dxa"/>
              <w:left w:w="70" w:type="dxa"/>
              <w:bottom w:w="55" w:type="dxa"/>
              <w:right w:w="70" w:type="dxa"/>
            </w:tcMar>
            <w:vAlign w:val="center"/>
          </w:tcPr>
          <w:p w14:paraId="113E704C" w14:textId="77777777" w:rsidR="00E66941" w:rsidRPr="006D06E6" w:rsidRDefault="00E66941" w:rsidP="00E66941">
            <w:pPr>
              <w:tabs>
                <w:tab w:val="left" w:pos="322"/>
              </w:tabs>
              <w:jc w:val="both"/>
              <w:rPr>
                <w:rFonts w:cs="Times New Roman"/>
                <w:b/>
                <w:bCs/>
                <w:i/>
                <w:iCs/>
                <w:sz w:val="24"/>
                <w:szCs w:val="24"/>
              </w:rPr>
            </w:pPr>
            <w:r w:rsidRPr="006D06E6">
              <w:rPr>
                <w:rFonts w:eastAsia="Times New Roman"/>
                <w:sz w:val="24"/>
              </w:rPr>
              <w:lastRenderedPageBreak/>
              <w:t xml:space="preserve">Đề nghị bổ sung trường hợp dự án khởi nghiệp sáng tạo được lựa chọn thông qua cuộc thi, chương trình tìm kiếm và tuyển chọn dự án khởi nghiệp sáng tạo quy mô quốc gia, </w:t>
            </w:r>
            <w:r w:rsidRPr="006D06E6">
              <w:rPr>
                <w:rFonts w:eastAsia="Times New Roman"/>
                <w:sz w:val="24"/>
              </w:rPr>
              <w:lastRenderedPageBreak/>
              <w:t>có quy chế và tiêu chí đánh giá do Ủy ban nhân dân Thành phố phê duyệt.</w:t>
            </w:r>
          </w:p>
        </w:tc>
        <w:tc>
          <w:tcPr>
            <w:tcW w:w="5953" w:type="dxa"/>
            <w:tcMar>
              <w:top w:w="55" w:type="dxa"/>
              <w:left w:w="70" w:type="dxa"/>
              <w:bottom w:w="55" w:type="dxa"/>
              <w:right w:w="70" w:type="dxa"/>
            </w:tcMar>
            <w:vAlign w:val="center"/>
          </w:tcPr>
          <w:p w14:paraId="2366D0D4" w14:textId="77777777" w:rsidR="002A35C1" w:rsidRPr="006D06E6" w:rsidRDefault="007B3C55" w:rsidP="002A35C1">
            <w:pPr>
              <w:jc w:val="both"/>
              <w:rPr>
                <w:rFonts w:cs="Times New Roman"/>
                <w:sz w:val="24"/>
                <w:szCs w:val="24"/>
              </w:rPr>
            </w:pPr>
            <w:r w:rsidRPr="006D06E6">
              <w:rPr>
                <w:sz w:val="24"/>
              </w:rPr>
              <w:lastRenderedPageBreak/>
              <w:t xml:space="preserve">Ghi nhận ý kiến. Tuy nhiên, </w:t>
            </w:r>
            <w:r w:rsidR="002A35C1" w:rsidRPr="006D06E6">
              <w:rPr>
                <w:rFonts w:eastAsia="Times New Roman"/>
                <w:sz w:val="24"/>
              </w:rPr>
              <w:t xml:space="preserve">Dự thảo không bổ sung ngoại lệ riêng cho dự án được lựa chọn qua cuộc thi hoặc chương trình quy mô quốc gia. Các dự án thuộc phạm vi Nghị quyết phải </w:t>
            </w:r>
            <w:r w:rsidR="002A35C1" w:rsidRPr="006D06E6">
              <w:rPr>
                <w:rFonts w:eastAsia="Times New Roman"/>
                <w:sz w:val="24"/>
              </w:rPr>
              <w:lastRenderedPageBreak/>
              <w:t>được đánh giá thống nhất theo tiêu chí, điều kiện và hoạt động tuyển chọn của trung tâm ươm tạo; kết quả cuộc thi, chương trình có thể được sử dụng làm thông tin, tài liệu chứng minh phù hợp nhưng không thay thế điều kiện của Nghị quyết.</w:t>
            </w:r>
          </w:p>
        </w:tc>
      </w:tr>
      <w:tr w:rsidR="006D06E6" w:rsidRPr="006D06E6" w14:paraId="7622C140" w14:textId="77777777" w:rsidTr="00B562A6">
        <w:tc>
          <w:tcPr>
            <w:tcW w:w="1900" w:type="dxa"/>
            <w:tcMar>
              <w:top w:w="55" w:type="dxa"/>
              <w:left w:w="70" w:type="dxa"/>
              <w:bottom w:w="55" w:type="dxa"/>
              <w:right w:w="70" w:type="dxa"/>
            </w:tcMar>
            <w:vAlign w:val="center"/>
          </w:tcPr>
          <w:p w14:paraId="79ADE0EE" w14:textId="77777777" w:rsidR="004E56B4" w:rsidRPr="006D06E6" w:rsidRDefault="00577EE0">
            <w:pPr>
              <w:rPr>
                <w:rFonts w:cs="Times New Roman"/>
                <w:sz w:val="24"/>
                <w:szCs w:val="24"/>
              </w:rPr>
            </w:pPr>
            <w:r w:rsidRPr="006D06E6">
              <w:rPr>
                <w:rFonts w:eastAsia="Times New Roman"/>
                <w:sz w:val="24"/>
              </w:rPr>
              <w:lastRenderedPageBreak/>
              <w:t>Điều 8. Hồ sơ, trình tự, thủ tục thực hiện hỗ trợ</w:t>
            </w:r>
          </w:p>
        </w:tc>
        <w:tc>
          <w:tcPr>
            <w:tcW w:w="1644" w:type="dxa"/>
            <w:tcMar>
              <w:top w:w="55" w:type="dxa"/>
              <w:left w:w="70" w:type="dxa"/>
              <w:bottom w:w="55" w:type="dxa"/>
              <w:right w:w="70" w:type="dxa"/>
            </w:tcMar>
            <w:vAlign w:val="center"/>
          </w:tcPr>
          <w:p w14:paraId="1E9B0964" w14:textId="77777777" w:rsidR="004E56B4" w:rsidRPr="006D06E6" w:rsidRDefault="004E56B4">
            <w:pPr>
              <w:jc w:val="center"/>
              <w:rPr>
                <w:sz w:val="24"/>
                <w:szCs w:val="24"/>
              </w:rPr>
            </w:pPr>
            <w:r w:rsidRPr="006D06E6">
              <w:rPr>
                <w:rFonts w:eastAsia="Times New Roman"/>
                <w:sz w:val="24"/>
              </w:rPr>
              <w:t>Ban Quản lý Khu nông nghiệp công nghệ cao, Công văn số 1582/NNCNC-QLKHĐT ngày 03/9/2026</w:t>
            </w:r>
          </w:p>
        </w:tc>
        <w:tc>
          <w:tcPr>
            <w:tcW w:w="5812" w:type="dxa"/>
            <w:tcMar>
              <w:top w:w="55" w:type="dxa"/>
              <w:left w:w="70" w:type="dxa"/>
              <w:bottom w:w="55" w:type="dxa"/>
              <w:right w:w="70" w:type="dxa"/>
            </w:tcMar>
            <w:vAlign w:val="center"/>
          </w:tcPr>
          <w:p w14:paraId="3CC40FC7" w14:textId="77777777" w:rsidR="002A35C1" w:rsidRPr="006D06E6" w:rsidRDefault="00045A0C" w:rsidP="00045A0C">
            <w:pPr>
              <w:tabs>
                <w:tab w:val="left" w:pos="322"/>
              </w:tabs>
              <w:jc w:val="both"/>
              <w:rPr>
                <w:rFonts w:eastAsia="Times New Roman" w:cs="Times New Roman"/>
                <w:bCs/>
                <w:i/>
                <w:iCs/>
                <w:sz w:val="24"/>
                <w:szCs w:val="24"/>
              </w:rPr>
            </w:pPr>
            <w:r w:rsidRPr="006D06E6">
              <w:rPr>
                <w:rFonts w:eastAsia="Times New Roman"/>
                <w:sz w:val="24"/>
              </w:rPr>
              <w:t>Tại điểm b khoản 2 Điều 8, đề nghị bổ sung dẫn chiếu quy định về nội dung, mức chi quản lý hoạt động khoa học, công nghệ và đổi mới sáng tạo; thực hiện nhiệm vụ khoa học, công nghệ và đổi mới sáng tạo có sử dụng ngân sách Thành phố Hồ Chí Minh, bên cạnh Nghị định số 268/2025/NĐ-CP và quy định về quản lý nhiệm vụ của Thành phố.</w:t>
            </w:r>
          </w:p>
        </w:tc>
        <w:tc>
          <w:tcPr>
            <w:tcW w:w="5953" w:type="dxa"/>
            <w:tcMar>
              <w:top w:w="55" w:type="dxa"/>
              <w:left w:w="70" w:type="dxa"/>
              <w:bottom w:w="55" w:type="dxa"/>
              <w:right w:w="70" w:type="dxa"/>
            </w:tcMar>
            <w:vAlign w:val="center"/>
          </w:tcPr>
          <w:p w14:paraId="489E25F3" w14:textId="77777777" w:rsidR="00EE7544" w:rsidRPr="006D06E6" w:rsidRDefault="007B3C55">
            <w:pPr>
              <w:pStyle w:val="NormalWeb"/>
              <w:jc w:val="both"/>
            </w:pPr>
            <w:r w:rsidRPr="006D06E6">
              <w:t xml:space="preserve">Ghi nhận ý kiến. Tuy nhiên, </w:t>
            </w:r>
            <w:r w:rsidR="001973FD" w:rsidRPr="006D06E6">
              <w:t>Điểm b khoản 2 Điều 8 quy định về trình tự, thủ tục thực hiện hỗ trợ; việc dẫn chiếu Nghị định số 268/2025/NĐ-CP và quy định quản lý nhiệm vụ của Thành phố nhằm xác định các bước thông báo, tiếp nhận hồ sơ, xét duyệt, thẩm định kinh phí, phê duyệt, ký hợp đồng, cấp kinh phí, kiểm tra, đánh giá, quyết toán và thanh lý hợp đồng. Nội dung, cơ cấu và mức hỗ trợ đã được quy định cụ thể tại Điều 7 và thực hiện theo Nghị quyết này; các nội dung khác về quản lý, sử dụng và quyết toán kinh phí không được Nghị quyết quy định cụ thể tiếp tục thực hiện theo pháp luật có liên quan.</w:t>
            </w:r>
          </w:p>
        </w:tc>
      </w:tr>
      <w:tr w:rsidR="006D06E6" w:rsidRPr="006D06E6" w14:paraId="419A009F" w14:textId="77777777" w:rsidTr="00B562A6">
        <w:tc>
          <w:tcPr>
            <w:tcW w:w="1900" w:type="dxa"/>
            <w:tcMar>
              <w:top w:w="55" w:type="dxa"/>
              <w:left w:w="70" w:type="dxa"/>
              <w:bottom w:w="55" w:type="dxa"/>
              <w:right w:w="70" w:type="dxa"/>
            </w:tcMar>
            <w:vAlign w:val="center"/>
          </w:tcPr>
          <w:p w14:paraId="2E5CBC9F" w14:textId="77777777" w:rsidR="004E56B4" w:rsidRPr="006D06E6" w:rsidRDefault="00577EE0">
            <w:pPr>
              <w:rPr>
                <w:rFonts w:cs="Times New Roman"/>
                <w:sz w:val="24"/>
                <w:szCs w:val="24"/>
              </w:rPr>
            </w:pPr>
            <w:r w:rsidRPr="006D06E6">
              <w:rPr>
                <w:rFonts w:eastAsia="Times New Roman"/>
                <w:sz w:val="24"/>
              </w:rPr>
              <w:t>Các nội dung còn lại của hồ sơ dự thảo</w:t>
            </w:r>
          </w:p>
        </w:tc>
        <w:tc>
          <w:tcPr>
            <w:tcW w:w="1644" w:type="dxa"/>
            <w:tcMar>
              <w:top w:w="55" w:type="dxa"/>
              <w:left w:w="70" w:type="dxa"/>
              <w:bottom w:w="55" w:type="dxa"/>
              <w:right w:w="70" w:type="dxa"/>
            </w:tcMar>
            <w:vAlign w:val="center"/>
          </w:tcPr>
          <w:p w14:paraId="36BCE9B8" w14:textId="77777777" w:rsidR="004E56B4" w:rsidRPr="006D06E6" w:rsidRDefault="004E56B4">
            <w:pPr>
              <w:jc w:val="center"/>
              <w:rPr>
                <w:sz w:val="24"/>
                <w:szCs w:val="24"/>
              </w:rPr>
            </w:pPr>
            <w:r w:rsidRPr="006D06E6">
              <w:rPr>
                <w:rFonts w:eastAsia="Times New Roman"/>
                <w:sz w:val="24"/>
              </w:rPr>
              <w:t>Ban Quản lý Khu nông nghiệp công nghệ cao, Công văn số 1582/NNCNC-QLKHĐT ngày 03/9/2026</w:t>
            </w:r>
          </w:p>
        </w:tc>
        <w:tc>
          <w:tcPr>
            <w:tcW w:w="5812" w:type="dxa"/>
            <w:tcMar>
              <w:top w:w="55" w:type="dxa"/>
              <w:left w:w="70" w:type="dxa"/>
              <w:bottom w:w="55" w:type="dxa"/>
              <w:right w:w="70" w:type="dxa"/>
            </w:tcMar>
            <w:vAlign w:val="center"/>
          </w:tcPr>
          <w:p w14:paraId="085EF60A" w14:textId="77777777" w:rsidR="002A35C1" w:rsidRPr="006D06E6" w:rsidRDefault="00045A0C" w:rsidP="00045A0C">
            <w:pPr>
              <w:tabs>
                <w:tab w:val="left" w:pos="322"/>
              </w:tabs>
              <w:jc w:val="both"/>
              <w:rPr>
                <w:rFonts w:eastAsia="Times New Roman" w:cs="Times New Roman"/>
                <w:bCs/>
                <w:i/>
                <w:iCs/>
                <w:sz w:val="24"/>
                <w:szCs w:val="24"/>
              </w:rPr>
            </w:pPr>
            <w:r w:rsidRPr="006D06E6">
              <w:rPr>
                <w:rFonts w:eastAsia="Times New Roman"/>
                <w:sz w:val="24"/>
              </w:rPr>
              <w:t>Ban Quản lý Khu Nông nghiệp Công nghệ cao thống nhất với các nội dung còn lại của hồ sơ dự thảo.</w:t>
            </w:r>
          </w:p>
        </w:tc>
        <w:tc>
          <w:tcPr>
            <w:tcW w:w="5953" w:type="dxa"/>
            <w:tcMar>
              <w:top w:w="55" w:type="dxa"/>
              <w:left w:w="70" w:type="dxa"/>
              <w:bottom w:w="55" w:type="dxa"/>
              <w:right w:w="70" w:type="dxa"/>
            </w:tcMar>
            <w:vAlign w:val="center"/>
          </w:tcPr>
          <w:p w14:paraId="3E1187F8" w14:textId="77777777" w:rsidR="00EE7544" w:rsidRPr="006D06E6" w:rsidRDefault="001973FD">
            <w:pPr>
              <w:pStyle w:val="NormalWeb"/>
              <w:jc w:val="both"/>
            </w:pPr>
            <w:r w:rsidRPr="006D06E6">
              <w:t>Ghi nhận ý kiến thống nhất của Ban Quản lý Khu Nông nghiệp Công nghệ cao.</w:t>
            </w:r>
          </w:p>
        </w:tc>
      </w:tr>
      <w:tr w:rsidR="006D06E6" w:rsidRPr="006D06E6" w14:paraId="0D196124" w14:textId="77777777" w:rsidTr="00B562A6">
        <w:tc>
          <w:tcPr>
            <w:tcW w:w="1900" w:type="dxa"/>
            <w:tcMar>
              <w:top w:w="55" w:type="dxa"/>
              <w:left w:w="70" w:type="dxa"/>
              <w:bottom w:w="55" w:type="dxa"/>
              <w:right w:w="70" w:type="dxa"/>
            </w:tcMar>
            <w:vAlign w:val="center"/>
          </w:tcPr>
          <w:p w14:paraId="4C16B132" w14:textId="77777777" w:rsidR="004E56B4" w:rsidRPr="006D06E6" w:rsidRDefault="00577EE0">
            <w:pPr>
              <w:rPr>
                <w:rFonts w:cs="Times New Roman"/>
                <w:sz w:val="24"/>
                <w:szCs w:val="24"/>
              </w:rPr>
            </w:pPr>
            <w:r w:rsidRPr="006D06E6">
              <w:rPr>
                <w:rFonts w:eastAsia="Times New Roman"/>
                <w:sz w:val="24"/>
              </w:rPr>
              <w:t>Đánh giá tác động đối với lĩnh vực nông nghiệp và môi trường</w:t>
            </w:r>
          </w:p>
        </w:tc>
        <w:tc>
          <w:tcPr>
            <w:tcW w:w="1644" w:type="dxa"/>
            <w:tcMar>
              <w:top w:w="55" w:type="dxa"/>
              <w:left w:w="70" w:type="dxa"/>
              <w:bottom w:w="55" w:type="dxa"/>
              <w:right w:w="70" w:type="dxa"/>
            </w:tcMar>
            <w:vAlign w:val="center"/>
          </w:tcPr>
          <w:p w14:paraId="1D98B869" w14:textId="77777777" w:rsidR="002A35C1" w:rsidRPr="006D06E6" w:rsidRDefault="002A35C1" w:rsidP="002A35C1">
            <w:pPr>
              <w:jc w:val="center"/>
              <w:rPr>
                <w:rFonts w:cs="Times New Roman"/>
                <w:sz w:val="24"/>
                <w:szCs w:val="24"/>
              </w:rPr>
            </w:pPr>
            <w:r w:rsidRPr="006D06E6">
              <w:rPr>
                <w:rFonts w:eastAsia="Times New Roman"/>
                <w:sz w:val="24"/>
              </w:rPr>
              <w:t>Sở Nông nghiệp và Môi trường, Công văn số 29022/SNMT-</w:t>
            </w:r>
            <w:r w:rsidRPr="006D06E6">
              <w:rPr>
                <w:rFonts w:eastAsia="Times New Roman"/>
                <w:sz w:val="24"/>
              </w:rPr>
              <w:lastRenderedPageBreak/>
              <w:t>PC ngày 04/9/2026 thống nhất Công văn số 23190/SNMT-PC ngày 24/7/2026</w:t>
            </w:r>
          </w:p>
        </w:tc>
        <w:tc>
          <w:tcPr>
            <w:tcW w:w="5812" w:type="dxa"/>
            <w:tcMar>
              <w:top w:w="55" w:type="dxa"/>
              <w:left w:w="70" w:type="dxa"/>
              <w:bottom w:w="55" w:type="dxa"/>
              <w:right w:w="70" w:type="dxa"/>
            </w:tcMar>
            <w:vAlign w:val="center"/>
          </w:tcPr>
          <w:p w14:paraId="06E7678B" w14:textId="77777777" w:rsidR="002A35C1" w:rsidRPr="006D06E6" w:rsidRDefault="002A35C1" w:rsidP="002A35C1">
            <w:pPr>
              <w:jc w:val="both"/>
              <w:rPr>
                <w:rFonts w:cs="Times New Roman"/>
                <w:b/>
                <w:bCs/>
                <w:sz w:val="24"/>
                <w:szCs w:val="24"/>
              </w:rPr>
            </w:pPr>
            <w:r w:rsidRPr="006D06E6">
              <w:rPr>
                <w:rFonts w:eastAsia="Times New Roman"/>
                <w:sz w:val="24"/>
              </w:rPr>
              <w:lastRenderedPageBreak/>
              <w:t>1. Đối với Tờ trình</w:t>
            </w:r>
            <w:r w:rsidRPr="006D06E6">
              <w:rPr>
                <w:rFonts w:eastAsia="Times New Roman"/>
                <w:sz w:val="24"/>
              </w:rPr>
              <w:br/>
              <w:t xml:space="preserve">- Bổ sung đánh giá tác động đối với lĩnh vực nông nghiệp và môi trường. </w:t>
            </w:r>
            <w:r w:rsidRPr="006D06E6">
              <w:rPr>
                <w:rFonts w:eastAsia="Times New Roman"/>
                <w:sz w:val="24"/>
              </w:rPr>
              <w:br/>
              <w:t xml:space="preserve">+ Đề nghị bổ sung nội dung đánh giá khả năng áp dụng chính sách đối với các dự án khởi nghiệp sáng tạo trong lĩnh </w:t>
            </w:r>
            <w:r w:rsidRPr="006D06E6">
              <w:rPr>
                <w:rFonts w:eastAsia="Times New Roman"/>
                <w:sz w:val="24"/>
              </w:rPr>
              <w:lastRenderedPageBreak/>
              <w:t xml:space="preserve">vực nông nghiệp công nghệ cao, kinh tế tuần hoàn, công nghệ môi trường, chuyển đổi xanh, kinh tế sinh học... </w:t>
            </w:r>
            <w:r w:rsidRPr="006D06E6">
              <w:rPr>
                <w:rFonts w:eastAsia="Times New Roman"/>
                <w:sz w:val="24"/>
              </w:rPr>
              <w:br/>
              <w:t>+ Đây là nhóm lĩnh vực Thành phố đang ưu tiên phát triển nhưng chưa được phân tích trong phần cơ sở thực tiễn.</w:t>
            </w:r>
          </w:p>
        </w:tc>
        <w:tc>
          <w:tcPr>
            <w:tcW w:w="5953" w:type="dxa"/>
            <w:tcMar>
              <w:top w:w="55" w:type="dxa"/>
              <w:left w:w="70" w:type="dxa"/>
              <w:bottom w:w="55" w:type="dxa"/>
              <w:right w:w="70" w:type="dxa"/>
            </w:tcMar>
            <w:vAlign w:val="center"/>
          </w:tcPr>
          <w:p w14:paraId="767BF956" w14:textId="77777777" w:rsidR="002A35C1" w:rsidRPr="006D06E6" w:rsidRDefault="002A35C1" w:rsidP="002A35C1">
            <w:pPr>
              <w:jc w:val="both"/>
              <w:rPr>
                <w:rFonts w:eastAsia="Times New Roman" w:cs="Times New Roman"/>
                <w:sz w:val="24"/>
                <w:szCs w:val="24"/>
              </w:rPr>
            </w:pPr>
            <w:r w:rsidRPr="006D06E6">
              <w:rPr>
                <w:rFonts w:eastAsia="Times New Roman"/>
                <w:sz w:val="24"/>
              </w:rPr>
              <w:lastRenderedPageBreak/>
              <w:t xml:space="preserve">Tiếp thu. Phần cơ sở thực tiễn và đánh giá tác động trong Tờ trình được bổ sung nội dung về khả năng áp dụng chính sách đối với các dự án nông nghiệp công nghệ cao, chuyển đổi số trong nông nghiệp, kinh tế tuần hoàn, kinh tế sinh học, công nghệ môi trường, chuyển đổi xanh, giảm phát thải và thích </w:t>
            </w:r>
            <w:r w:rsidRPr="006D06E6">
              <w:rPr>
                <w:rFonts w:eastAsia="Times New Roman"/>
                <w:sz w:val="24"/>
              </w:rPr>
              <w:lastRenderedPageBreak/>
              <w:t>ứng biến đổi khí hậu; tiêu chí về bảo vệ môi trường và phát triển bền vững tiếp tục được thể hiện trong tiêu chí đánh giá dự án.</w:t>
            </w:r>
          </w:p>
        </w:tc>
      </w:tr>
      <w:tr w:rsidR="006D06E6" w:rsidRPr="006D06E6" w14:paraId="7F39B70E" w14:textId="77777777" w:rsidTr="00B562A6">
        <w:tc>
          <w:tcPr>
            <w:tcW w:w="1900" w:type="dxa"/>
            <w:tcMar>
              <w:top w:w="55" w:type="dxa"/>
              <w:left w:w="70" w:type="dxa"/>
              <w:bottom w:w="55" w:type="dxa"/>
              <w:right w:w="70" w:type="dxa"/>
            </w:tcMar>
            <w:vAlign w:val="center"/>
          </w:tcPr>
          <w:p w14:paraId="21B05029" w14:textId="77777777" w:rsidR="004E56B4" w:rsidRPr="006D06E6" w:rsidRDefault="00577EE0">
            <w:pPr>
              <w:rPr>
                <w:rFonts w:cs="Times New Roman"/>
                <w:sz w:val="24"/>
                <w:szCs w:val="24"/>
              </w:rPr>
            </w:pPr>
            <w:r w:rsidRPr="006D06E6">
              <w:rPr>
                <w:rFonts w:eastAsia="Times New Roman"/>
                <w:sz w:val="24"/>
              </w:rPr>
              <w:lastRenderedPageBreak/>
              <w:t>Căn cứ xác định mức hỗ trợ</w:t>
            </w:r>
          </w:p>
        </w:tc>
        <w:tc>
          <w:tcPr>
            <w:tcW w:w="1644" w:type="dxa"/>
            <w:tcMar>
              <w:top w:w="55" w:type="dxa"/>
              <w:left w:w="70" w:type="dxa"/>
              <w:bottom w:w="55" w:type="dxa"/>
              <w:right w:w="70" w:type="dxa"/>
            </w:tcMar>
            <w:vAlign w:val="center"/>
          </w:tcPr>
          <w:p w14:paraId="04000393" w14:textId="77777777" w:rsidR="004E56B4" w:rsidRPr="006D06E6" w:rsidRDefault="004E56B4">
            <w:pPr>
              <w:jc w:val="center"/>
              <w:rPr>
                <w:sz w:val="24"/>
                <w:szCs w:val="24"/>
              </w:rPr>
            </w:pPr>
            <w:r w:rsidRPr="006D06E6">
              <w:rPr>
                <w:rFonts w:eastAsia="Times New Roman"/>
                <w:sz w:val="24"/>
              </w:rPr>
              <w:t>Sở Nông nghiệp và Môi trường, Công văn số 29022/SNMT-PC ngày 04/9/2026 thống nhất Công văn số 23190/SNMT-PC ngày 24/7/2026</w:t>
            </w:r>
          </w:p>
        </w:tc>
        <w:tc>
          <w:tcPr>
            <w:tcW w:w="5812" w:type="dxa"/>
            <w:tcMar>
              <w:top w:w="55" w:type="dxa"/>
              <w:left w:w="70" w:type="dxa"/>
              <w:bottom w:w="55" w:type="dxa"/>
              <w:right w:w="70" w:type="dxa"/>
            </w:tcMar>
            <w:vAlign w:val="center"/>
          </w:tcPr>
          <w:p w14:paraId="0F95C73E" w14:textId="77777777" w:rsidR="002A35C1" w:rsidRPr="006D06E6" w:rsidRDefault="002A35C1" w:rsidP="002A35C1">
            <w:pPr>
              <w:jc w:val="both"/>
              <w:rPr>
                <w:rFonts w:cs="Times New Roman"/>
                <w:b/>
                <w:bCs/>
                <w:sz w:val="24"/>
                <w:szCs w:val="24"/>
              </w:rPr>
            </w:pPr>
            <w:r w:rsidRPr="006D06E6">
              <w:rPr>
                <w:rFonts w:eastAsia="Times New Roman"/>
                <w:sz w:val="24"/>
              </w:rPr>
              <w:t>- Làm rõ căn cứ xác định mức hỗ trợ</w:t>
            </w:r>
            <w:r w:rsidRPr="006D06E6">
              <w:rPr>
                <w:rFonts w:eastAsia="Times New Roman"/>
                <w:sz w:val="24"/>
              </w:rPr>
              <w:br/>
              <w:t>+ Đề nghị bổ sung thuyết minh cơ sở xây dựng các mức hỗ trợ 50 triệu đồng, 100 triệu đồng và 500 triệu đồng/dự án; làm rõ việc kế thừa từ Nghị quyết số 20/2023/NQ-HĐND và kết quả khảo sát nhu cầu thực tế của các tổ chức ươm tạo.</w:t>
            </w:r>
          </w:p>
        </w:tc>
        <w:tc>
          <w:tcPr>
            <w:tcW w:w="5953" w:type="dxa"/>
            <w:tcMar>
              <w:top w:w="55" w:type="dxa"/>
              <w:left w:w="70" w:type="dxa"/>
              <w:bottom w:w="55" w:type="dxa"/>
              <w:right w:w="70" w:type="dxa"/>
            </w:tcMar>
            <w:vAlign w:val="center"/>
          </w:tcPr>
          <w:p w14:paraId="000948C7" w14:textId="77777777" w:rsidR="002A35C1" w:rsidRPr="006D06E6" w:rsidRDefault="00BD504D" w:rsidP="00BD504D">
            <w:pPr>
              <w:jc w:val="both"/>
              <w:rPr>
                <w:rFonts w:eastAsia="Times New Roman" w:cs="Times New Roman"/>
                <w:sz w:val="24"/>
                <w:szCs w:val="24"/>
              </w:rPr>
            </w:pPr>
            <w:r w:rsidRPr="006D06E6">
              <w:rPr>
                <w:rFonts w:eastAsia="Times New Roman"/>
                <w:sz w:val="24"/>
              </w:rPr>
              <w:t>Tiếp thu, giải trình. Tờ trình và Bản so sánh, thuyết minh đã bổ sung cơ sở đề xuất các mức hỗ trợ 50 triệu đồng, 100 triệu đồng và 500 triệu đồng/dự án trên cơ sở kế thừa Nghị quyết số 20/2023/NQ-HĐND, kết quả triển khai giai đoạn 2024 - 2025 và yêu cầu nâng cao chất lượng kết quả đầu ra của từng giai đoạn. Mức tại Điều 7 là mức hỗ trợ cụ thể cho từng dự án, từng giai đoạn.</w:t>
            </w:r>
          </w:p>
        </w:tc>
      </w:tr>
      <w:tr w:rsidR="006D06E6" w:rsidRPr="006D06E6" w14:paraId="12A68E2B" w14:textId="77777777" w:rsidTr="00B562A6">
        <w:tc>
          <w:tcPr>
            <w:tcW w:w="1900" w:type="dxa"/>
            <w:tcMar>
              <w:top w:w="55" w:type="dxa"/>
              <w:left w:w="70" w:type="dxa"/>
              <w:bottom w:w="55" w:type="dxa"/>
              <w:right w:w="70" w:type="dxa"/>
            </w:tcMar>
            <w:vAlign w:val="center"/>
          </w:tcPr>
          <w:p w14:paraId="6430A034" w14:textId="77777777" w:rsidR="004E56B4" w:rsidRPr="006D06E6" w:rsidRDefault="00577EE0">
            <w:pPr>
              <w:rPr>
                <w:rFonts w:cs="Times New Roman"/>
                <w:sz w:val="24"/>
                <w:szCs w:val="24"/>
              </w:rPr>
            </w:pPr>
            <w:r w:rsidRPr="006D06E6">
              <w:rPr>
                <w:rFonts w:eastAsia="Times New Roman"/>
                <w:sz w:val="24"/>
              </w:rPr>
              <w:t>Tiêu chí, lĩnh vực ưu tiên đối với dự án</w:t>
            </w:r>
          </w:p>
        </w:tc>
        <w:tc>
          <w:tcPr>
            <w:tcW w:w="1644" w:type="dxa"/>
            <w:tcMar>
              <w:top w:w="55" w:type="dxa"/>
              <w:left w:w="70" w:type="dxa"/>
              <w:bottom w:w="55" w:type="dxa"/>
              <w:right w:w="70" w:type="dxa"/>
            </w:tcMar>
            <w:vAlign w:val="center"/>
          </w:tcPr>
          <w:p w14:paraId="387EC5C8" w14:textId="77777777" w:rsidR="004E56B4" w:rsidRPr="006D06E6" w:rsidRDefault="004E56B4">
            <w:pPr>
              <w:jc w:val="center"/>
              <w:rPr>
                <w:sz w:val="24"/>
                <w:szCs w:val="24"/>
              </w:rPr>
            </w:pPr>
            <w:r w:rsidRPr="006D06E6">
              <w:rPr>
                <w:rFonts w:eastAsia="Times New Roman"/>
                <w:sz w:val="24"/>
              </w:rPr>
              <w:t>Sở Nông nghiệp và Môi trường, Công văn số 29022/SNMT-PC ngày 04/9/2026 thống nhất Công văn số 23190/SNMT-</w:t>
            </w:r>
            <w:r w:rsidRPr="006D06E6">
              <w:rPr>
                <w:rFonts w:eastAsia="Times New Roman"/>
                <w:sz w:val="24"/>
              </w:rPr>
              <w:lastRenderedPageBreak/>
              <w:t>PC ngày 24/7/2026</w:t>
            </w:r>
          </w:p>
        </w:tc>
        <w:tc>
          <w:tcPr>
            <w:tcW w:w="5812" w:type="dxa"/>
            <w:tcMar>
              <w:top w:w="55" w:type="dxa"/>
              <w:left w:w="70" w:type="dxa"/>
              <w:bottom w:w="55" w:type="dxa"/>
              <w:right w:w="70" w:type="dxa"/>
            </w:tcMar>
            <w:vAlign w:val="center"/>
          </w:tcPr>
          <w:p w14:paraId="727649CB" w14:textId="77777777" w:rsidR="002A35C1" w:rsidRPr="006D06E6" w:rsidRDefault="002A35C1" w:rsidP="002A35C1">
            <w:pPr>
              <w:jc w:val="both"/>
              <w:rPr>
                <w:rFonts w:cs="Times New Roman"/>
                <w:b/>
                <w:bCs/>
                <w:sz w:val="24"/>
                <w:szCs w:val="24"/>
              </w:rPr>
            </w:pPr>
            <w:r w:rsidRPr="006D06E6">
              <w:rPr>
                <w:rFonts w:eastAsia="Times New Roman"/>
                <w:sz w:val="24"/>
              </w:rPr>
              <w:lastRenderedPageBreak/>
              <w:t>2. Đối với dự thảo Nghị quyết Điều 5 - Tiêu chí dự án</w:t>
            </w:r>
            <w:r w:rsidRPr="006D06E6">
              <w:rPr>
                <w:rFonts w:eastAsia="Times New Roman"/>
                <w:sz w:val="24"/>
              </w:rPr>
              <w:br/>
              <w:t>Đề nghị nghiên cứu bổ sung tiêu chí ưu tiên đối với các dự án: Nông nghiệp công nghệ cao; Chuyển đổi số trong nông nghiệp; Bảo vệ môi trường; Kinh tế tuần hoàn; Giảm phát thải khí nhà kính; thích ứng biến đổi khí hậu; sử dụng hiệu quả tài nguyên thiên nhiên. Việc bổ sung tiêu chí này sẽ phù hợp với định hướng phát triển xanh của Thành phố và chiến lược tăng trưởng xanh quốc gia.</w:t>
            </w:r>
          </w:p>
        </w:tc>
        <w:tc>
          <w:tcPr>
            <w:tcW w:w="5953" w:type="dxa"/>
            <w:tcMar>
              <w:top w:w="55" w:type="dxa"/>
              <w:left w:w="70" w:type="dxa"/>
              <w:bottom w:w="55" w:type="dxa"/>
              <w:right w:w="70" w:type="dxa"/>
            </w:tcMar>
            <w:vAlign w:val="center"/>
          </w:tcPr>
          <w:p w14:paraId="3EF9DD2B" w14:textId="77777777" w:rsidR="00822B30" w:rsidRPr="006D06E6" w:rsidRDefault="002A35C1" w:rsidP="002A35C1">
            <w:pPr>
              <w:jc w:val="both"/>
              <w:rPr>
                <w:rFonts w:eastAsia="Times New Roman" w:cs="Times New Roman"/>
                <w:sz w:val="24"/>
                <w:szCs w:val="24"/>
              </w:rPr>
            </w:pPr>
            <w:r w:rsidRPr="006D06E6">
              <w:rPr>
                <w:rFonts w:eastAsia="Times New Roman"/>
                <w:sz w:val="24"/>
              </w:rPr>
              <w:t>Tiếp thu một phần. Khoản 2 Điều 4 quy định phạm vi lĩnh vực hỗ trợ theo hướng bao quát, gắn với chiến lược, quy hoạch, chương trình, kế hoạch phát triển đã được cấp có thẩm quyền phê duyệt; không bổ sung danh mục ưu tiên khép kín tại Điều 5. Các lĩnh vực nông nghiệp công nghệ cao, chuyển đổi số trong nông nghiệp, bảo vệ môi trường, kinh tế tuần hoàn, giảm phát thải khí nhà kính, thích ứng biến đổi khí hậu và sử dụng hiệu quả tài nguyên thiên nhiên thuộc phạm vi được xem xét hỗ trợ khi phù hợp định hướng của Thành phố.</w:t>
            </w:r>
          </w:p>
        </w:tc>
      </w:tr>
      <w:tr w:rsidR="006D06E6" w:rsidRPr="006D06E6" w14:paraId="13401A1C" w14:textId="77777777" w:rsidTr="00B562A6">
        <w:tc>
          <w:tcPr>
            <w:tcW w:w="1900" w:type="dxa"/>
            <w:tcMar>
              <w:top w:w="55" w:type="dxa"/>
              <w:left w:w="70" w:type="dxa"/>
              <w:bottom w:w="55" w:type="dxa"/>
              <w:right w:w="70" w:type="dxa"/>
            </w:tcMar>
          </w:tcPr>
          <w:p w14:paraId="1AA8CF68" w14:textId="77777777" w:rsidR="00E83453" w:rsidRPr="006D06E6" w:rsidRDefault="00E83453" w:rsidP="00E83453">
            <w:pPr>
              <w:jc w:val="both"/>
              <w:rPr>
                <w:rFonts w:cs="Times New Roman"/>
                <w:sz w:val="24"/>
                <w:szCs w:val="24"/>
              </w:rPr>
            </w:pPr>
            <w:r w:rsidRPr="006D06E6">
              <w:rPr>
                <w:rFonts w:eastAsia="Times New Roman" w:cs="Times New Roman"/>
                <w:sz w:val="24"/>
                <w:szCs w:val="24"/>
              </w:rPr>
              <w:t>Điều kiện hỗ trợ và kiểm soát hỗ trợ trùng lặp</w:t>
            </w:r>
          </w:p>
        </w:tc>
        <w:tc>
          <w:tcPr>
            <w:tcW w:w="1644" w:type="dxa"/>
            <w:tcMar>
              <w:top w:w="55" w:type="dxa"/>
              <w:left w:w="70" w:type="dxa"/>
              <w:bottom w:w="55" w:type="dxa"/>
              <w:right w:w="70" w:type="dxa"/>
            </w:tcMar>
          </w:tcPr>
          <w:p w14:paraId="59297CB5" w14:textId="77777777" w:rsidR="00E83453" w:rsidRPr="006D06E6" w:rsidRDefault="00E83453" w:rsidP="00E83453">
            <w:pPr>
              <w:jc w:val="center"/>
              <w:rPr>
                <w:rFonts w:cs="Times New Roman"/>
                <w:sz w:val="24"/>
                <w:szCs w:val="24"/>
              </w:rPr>
            </w:pPr>
            <w:r w:rsidRPr="006D06E6">
              <w:rPr>
                <w:rFonts w:eastAsia="Times New Roman" w:cs="Times New Roman"/>
                <w:sz w:val="24"/>
                <w:szCs w:val="24"/>
              </w:rPr>
              <w:t>Sở Công thương, Công văn số 13518/SCT-KTPC ngày 04/9/2026</w:t>
            </w:r>
          </w:p>
        </w:tc>
        <w:tc>
          <w:tcPr>
            <w:tcW w:w="5812" w:type="dxa"/>
            <w:tcMar>
              <w:top w:w="55" w:type="dxa"/>
              <w:left w:w="70" w:type="dxa"/>
              <w:bottom w:w="55" w:type="dxa"/>
              <w:right w:w="70" w:type="dxa"/>
            </w:tcMar>
          </w:tcPr>
          <w:p w14:paraId="27A200E0" w14:textId="77777777" w:rsidR="00E83453" w:rsidRPr="006D06E6" w:rsidRDefault="00E83453" w:rsidP="00E83453">
            <w:pPr>
              <w:widowControl w:val="0"/>
              <w:tabs>
                <w:tab w:val="left" w:pos="567"/>
              </w:tabs>
              <w:autoSpaceDE w:val="0"/>
              <w:autoSpaceDN w:val="0"/>
              <w:adjustRightInd w:val="0"/>
              <w:jc w:val="both"/>
              <w:rPr>
                <w:rFonts w:cs="Times New Roman"/>
                <w:bCs/>
                <w:sz w:val="24"/>
                <w:szCs w:val="24"/>
              </w:rPr>
            </w:pPr>
            <w:r w:rsidRPr="006D06E6">
              <w:rPr>
                <w:rFonts w:eastAsia="Times New Roman" w:cs="Times New Roman"/>
                <w:sz w:val="24"/>
                <w:szCs w:val="24"/>
              </w:rPr>
              <w:t>Thống nhất nội dung</w:t>
            </w:r>
          </w:p>
        </w:tc>
        <w:tc>
          <w:tcPr>
            <w:tcW w:w="5953" w:type="dxa"/>
            <w:tcMar>
              <w:top w:w="55" w:type="dxa"/>
              <w:left w:w="70" w:type="dxa"/>
              <w:bottom w:w="55" w:type="dxa"/>
              <w:right w:w="70" w:type="dxa"/>
            </w:tcMar>
          </w:tcPr>
          <w:p w14:paraId="0D08520B" w14:textId="77777777" w:rsidR="00E83453" w:rsidRPr="006D06E6" w:rsidRDefault="00E83453" w:rsidP="00E83453">
            <w:pPr>
              <w:jc w:val="both"/>
              <w:rPr>
                <w:rFonts w:eastAsia="Times New Roman" w:cs="Times New Roman"/>
                <w:sz w:val="24"/>
                <w:szCs w:val="24"/>
              </w:rPr>
            </w:pPr>
            <w:r w:rsidRPr="006D06E6">
              <w:rPr>
                <w:rFonts w:eastAsia="Times New Roman" w:cs="Times New Roman"/>
                <w:sz w:val="24"/>
                <w:szCs w:val="24"/>
              </w:rPr>
              <w:t>Sở Khoa học và Công nghệ ghi nhận ý kiến thống nhất.</w:t>
            </w:r>
          </w:p>
        </w:tc>
      </w:tr>
      <w:tr w:rsidR="006D06E6" w:rsidRPr="006D06E6" w14:paraId="4518FCB8" w14:textId="77777777" w:rsidTr="00B562A6">
        <w:tc>
          <w:tcPr>
            <w:tcW w:w="1900" w:type="dxa"/>
            <w:tcMar>
              <w:top w:w="55" w:type="dxa"/>
              <w:left w:w="70" w:type="dxa"/>
              <w:bottom w:w="55" w:type="dxa"/>
              <w:right w:w="70" w:type="dxa"/>
            </w:tcMar>
            <w:vAlign w:val="center"/>
          </w:tcPr>
          <w:p w14:paraId="1D365ACC" w14:textId="77777777" w:rsidR="00E83453" w:rsidRPr="006D06E6" w:rsidRDefault="00E83453" w:rsidP="00E83453">
            <w:pPr>
              <w:rPr>
                <w:rFonts w:cs="Times New Roman"/>
                <w:sz w:val="24"/>
                <w:szCs w:val="24"/>
              </w:rPr>
            </w:pPr>
            <w:r w:rsidRPr="006D06E6">
              <w:rPr>
                <w:rFonts w:eastAsia="Times New Roman"/>
                <w:sz w:val="24"/>
              </w:rPr>
              <w:t>Khoản 2 Điều 4; Điều 8; khoản 1 Điều 10; Điều 11</w:t>
            </w:r>
          </w:p>
        </w:tc>
        <w:tc>
          <w:tcPr>
            <w:tcW w:w="1644" w:type="dxa"/>
            <w:tcMar>
              <w:top w:w="55" w:type="dxa"/>
              <w:left w:w="70" w:type="dxa"/>
              <w:bottom w:w="55" w:type="dxa"/>
              <w:right w:w="70" w:type="dxa"/>
            </w:tcMar>
            <w:vAlign w:val="center"/>
          </w:tcPr>
          <w:p w14:paraId="4946078B" w14:textId="77777777" w:rsidR="00E83453" w:rsidRPr="006D06E6" w:rsidRDefault="00474FA7" w:rsidP="00474FA7">
            <w:pPr>
              <w:jc w:val="center"/>
              <w:rPr>
                <w:sz w:val="24"/>
                <w:szCs w:val="24"/>
              </w:rPr>
            </w:pPr>
            <w:r w:rsidRPr="006D06E6">
              <w:rPr>
                <w:rFonts w:eastAsia="Times New Roman"/>
                <w:sz w:val="24"/>
              </w:rPr>
              <w:t>Quỹ Phát triển Khoa học và Công nghệ Thành phố</w:t>
            </w:r>
            <w:r w:rsidRPr="006D06E6">
              <w:rPr>
                <w:rFonts w:eastAsia="Times New Roman"/>
                <w:sz w:val="24"/>
              </w:rPr>
              <w:br/>
              <w:t>Công văn số 92/QKHCN-NV</w:t>
            </w:r>
          </w:p>
        </w:tc>
        <w:tc>
          <w:tcPr>
            <w:tcW w:w="5812" w:type="dxa"/>
            <w:tcMar>
              <w:top w:w="55" w:type="dxa"/>
              <w:left w:w="70" w:type="dxa"/>
              <w:bottom w:w="55" w:type="dxa"/>
              <w:right w:w="70" w:type="dxa"/>
            </w:tcMar>
            <w:vAlign w:val="center"/>
          </w:tcPr>
          <w:p w14:paraId="1E9C4B9F" w14:textId="77777777" w:rsidR="00474FA7" w:rsidRPr="006D06E6" w:rsidRDefault="00474FA7" w:rsidP="00474FA7">
            <w:pPr>
              <w:jc w:val="both"/>
              <w:rPr>
                <w:rFonts w:cs="Times New Roman"/>
                <w:b/>
                <w:bCs/>
                <w:sz w:val="24"/>
                <w:szCs w:val="24"/>
              </w:rPr>
            </w:pPr>
            <w:r w:rsidRPr="006D06E6">
              <w:rPr>
                <w:rFonts w:eastAsia="Times New Roman"/>
                <w:sz w:val="24"/>
              </w:rPr>
              <w:t>Quỹ thống nhất với quy định tại khoản 2 Điều 4 về việc Sở Khoa học và Công nghệ thông tin lĩnh vực hỗ trợ, định hướng ưu tiên phát triển của Thành phố và khả năng cân đối ngân sách hằng năm đến cơ quan quản lý nhiệm vụ đổi mới sáng tạo để thông báo, kêu gọi đề xuất nhiệm vụ; Điều 8 về hồ sơ, trình tự, thủ tục thực hiện hỗ trợ; khoản 1 Điều 10 về tổ chức thực hiện và Điều 11 về điều khoản chuyển tiếp.</w:t>
            </w:r>
          </w:p>
        </w:tc>
        <w:tc>
          <w:tcPr>
            <w:tcW w:w="5953" w:type="dxa"/>
            <w:tcMar>
              <w:top w:w="55" w:type="dxa"/>
              <w:left w:w="70" w:type="dxa"/>
              <w:bottom w:w="55" w:type="dxa"/>
              <w:right w:w="70" w:type="dxa"/>
            </w:tcMar>
            <w:vAlign w:val="center"/>
          </w:tcPr>
          <w:p w14:paraId="6D0DCA5B" w14:textId="77777777" w:rsidR="00E83453" w:rsidRPr="006D06E6" w:rsidRDefault="00E83453" w:rsidP="00E83453">
            <w:pPr>
              <w:jc w:val="both"/>
              <w:rPr>
                <w:rFonts w:eastAsia="Times New Roman" w:cs="Times New Roman"/>
                <w:sz w:val="24"/>
                <w:szCs w:val="24"/>
              </w:rPr>
            </w:pPr>
            <w:r w:rsidRPr="006D06E6">
              <w:rPr>
                <w:rFonts w:eastAsia="Times New Roman"/>
                <w:sz w:val="24"/>
              </w:rPr>
              <w:t>Ghi nhận ý kiến thống nhất của Quỹ Phát triển Khoa học và Công nghệ Thành phố đối với các nội dung nêu trên.</w:t>
            </w:r>
          </w:p>
        </w:tc>
      </w:tr>
      <w:tr w:rsidR="006D06E6" w:rsidRPr="006D06E6" w14:paraId="15041412" w14:textId="77777777" w:rsidTr="00B562A6">
        <w:tc>
          <w:tcPr>
            <w:tcW w:w="1900" w:type="dxa"/>
            <w:tcMar>
              <w:top w:w="55" w:type="dxa"/>
              <w:left w:w="70" w:type="dxa"/>
              <w:bottom w:w="55" w:type="dxa"/>
              <w:right w:w="70" w:type="dxa"/>
            </w:tcMar>
            <w:vAlign w:val="center"/>
          </w:tcPr>
          <w:p w14:paraId="6AA3FBD4" w14:textId="77777777" w:rsidR="00E83453" w:rsidRPr="006D06E6" w:rsidRDefault="00E83453" w:rsidP="00E83453">
            <w:pPr>
              <w:rPr>
                <w:rFonts w:cs="Times New Roman"/>
                <w:sz w:val="24"/>
                <w:szCs w:val="24"/>
              </w:rPr>
            </w:pPr>
            <w:r w:rsidRPr="006D06E6">
              <w:rPr>
                <w:rFonts w:eastAsia="Times New Roman"/>
                <w:sz w:val="24"/>
              </w:rPr>
              <w:t>Điều 3. Cơ quan quản lý nhiệm vụ đổi mới sáng tạo</w:t>
            </w:r>
          </w:p>
        </w:tc>
        <w:tc>
          <w:tcPr>
            <w:tcW w:w="1644" w:type="dxa"/>
            <w:tcMar>
              <w:top w:w="55" w:type="dxa"/>
              <w:left w:w="70" w:type="dxa"/>
              <w:bottom w:w="55" w:type="dxa"/>
              <w:right w:w="70" w:type="dxa"/>
            </w:tcMar>
            <w:vAlign w:val="center"/>
          </w:tcPr>
          <w:p w14:paraId="3000DDD1" w14:textId="77777777" w:rsidR="00E83453" w:rsidRPr="006D06E6" w:rsidRDefault="00474FA7" w:rsidP="00474FA7">
            <w:pPr>
              <w:jc w:val="center"/>
              <w:rPr>
                <w:sz w:val="24"/>
                <w:szCs w:val="24"/>
              </w:rPr>
            </w:pPr>
            <w:r w:rsidRPr="006D06E6">
              <w:rPr>
                <w:rFonts w:eastAsia="Times New Roman"/>
                <w:sz w:val="24"/>
              </w:rPr>
              <w:t>Quỹ Phát triển Khoa học và Công nghệ Thành phố</w:t>
            </w:r>
            <w:r w:rsidRPr="006D06E6">
              <w:rPr>
                <w:rFonts w:eastAsia="Times New Roman"/>
                <w:sz w:val="24"/>
              </w:rPr>
              <w:br/>
              <w:t>Công văn số 92/QKHCN-NV</w:t>
            </w:r>
          </w:p>
        </w:tc>
        <w:tc>
          <w:tcPr>
            <w:tcW w:w="5812" w:type="dxa"/>
            <w:tcMar>
              <w:top w:w="55" w:type="dxa"/>
              <w:left w:w="70" w:type="dxa"/>
              <w:bottom w:w="55" w:type="dxa"/>
              <w:right w:w="70" w:type="dxa"/>
            </w:tcMar>
            <w:vAlign w:val="center"/>
          </w:tcPr>
          <w:p w14:paraId="2C4A60B0" w14:textId="77777777" w:rsidR="00474FA7" w:rsidRPr="006D06E6" w:rsidRDefault="00474FA7" w:rsidP="00474FA7">
            <w:pPr>
              <w:jc w:val="both"/>
              <w:rPr>
                <w:rFonts w:cs="Times New Roman"/>
                <w:b/>
                <w:bCs/>
                <w:sz w:val="24"/>
                <w:szCs w:val="24"/>
              </w:rPr>
            </w:pPr>
            <w:r w:rsidRPr="006D06E6">
              <w:rPr>
                <w:rFonts w:eastAsia="Times New Roman"/>
                <w:sz w:val="24"/>
              </w:rPr>
              <w:t>Đề nghị bổ sung tại Điều 3 nội dung giải thích từ ngữ để làm rõ cơ quan, đơn vị có trách nhiệm quản lý nhiệm vụ đổi mới sáng tạo khi tổ chức thực hiện tại Thành phố và bảo đảm thống nhất với quy định quản lý nhiệm vụ hiện hành.</w:t>
            </w:r>
          </w:p>
        </w:tc>
        <w:tc>
          <w:tcPr>
            <w:tcW w:w="5953" w:type="dxa"/>
            <w:tcMar>
              <w:top w:w="55" w:type="dxa"/>
              <w:left w:w="70" w:type="dxa"/>
              <w:bottom w:w="55" w:type="dxa"/>
              <w:right w:w="70" w:type="dxa"/>
            </w:tcMar>
            <w:vAlign w:val="center"/>
          </w:tcPr>
          <w:p w14:paraId="3C6BF789" w14:textId="77777777" w:rsidR="00E83453" w:rsidRPr="006D06E6" w:rsidRDefault="00E83453" w:rsidP="00E83453">
            <w:pPr>
              <w:jc w:val="both"/>
              <w:rPr>
                <w:rFonts w:eastAsia="Times New Roman" w:cs="Times New Roman"/>
                <w:sz w:val="24"/>
                <w:szCs w:val="24"/>
              </w:rPr>
            </w:pPr>
            <w:r w:rsidRPr="006D06E6">
              <w:rPr>
                <w:rFonts w:eastAsia="Times New Roman"/>
                <w:sz w:val="24"/>
              </w:rPr>
              <w:t>Tiếp thu. Khoản 6 Điều 3 đã bổ sung giải thích: cơ quan quản lý nhiệm vụ đổi mới sáng tạo là cơ quan, đơn vị được Ủy ban nhân dân Thành phố giao, phân cấp thực hiện chức năng quản lý nhiệm vụ đối với nhiệm vụ hỗ trợ khởi nghiệp sáng tạo theo quy định hiện hành.</w:t>
            </w:r>
          </w:p>
        </w:tc>
      </w:tr>
      <w:tr w:rsidR="006D06E6" w:rsidRPr="006D06E6" w14:paraId="27AB3618" w14:textId="77777777" w:rsidTr="00B562A6">
        <w:tc>
          <w:tcPr>
            <w:tcW w:w="1900" w:type="dxa"/>
            <w:tcMar>
              <w:top w:w="55" w:type="dxa"/>
              <w:left w:w="70" w:type="dxa"/>
              <w:bottom w:w="55" w:type="dxa"/>
              <w:right w:w="70" w:type="dxa"/>
            </w:tcMar>
            <w:vAlign w:val="center"/>
          </w:tcPr>
          <w:p w14:paraId="5882AD16" w14:textId="77777777" w:rsidR="00E83453" w:rsidRPr="006D06E6" w:rsidRDefault="00E83453" w:rsidP="00E83453">
            <w:pPr>
              <w:rPr>
                <w:rFonts w:cs="Times New Roman"/>
                <w:sz w:val="24"/>
                <w:szCs w:val="24"/>
              </w:rPr>
            </w:pPr>
            <w:r w:rsidRPr="006D06E6">
              <w:rPr>
                <w:rFonts w:eastAsia="Times New Roman"/>
                <w:sz w:val="24"/>
              </w:rPr>
              <w:t>Điều 2, Điều 6. Điều kiện đối với trung tâm ươm tạo</w:t>
            </w:r>
          </w:p>
        </w:tc>
        <w:tc>
          <w:tcPr>
            <w:tcW w:w="1644" w:type="dxa"/>
            <w:tcMar>
              <w:top w:w="55" w:type="dxa"/>
              <w:left w:w="70" w:type="dxa"/>
              <w:bottom w:w="55" w:type="dxa"/>
              <w:right w:w="70" w:type="dxa"/>
            </w:tcMar>
            <w:vAlign w:val="center"/>
          </w:tcPr>
          <w:p w14:paraId="283707D3" w14:textId="77777777" w:rsidR="00E83453" w:rsidRPr="006D06E6" w:rsidRDefault="00474FA7" w:rsidP="00474FA7">
            <w:pPr>
              <w:jc w:val="center"/>
              <w:rPr>
                <w:sz w:val="24"/>
                <w:szCs w:val="24"/>
              </w:rPr>
            </w:pPr>
            <w:r w:rsidRPr="006D06E6">
              <w:rPr>
                <w:rFonts w:eastAsia="Times New Roman"/>
                <w:sz w:val="24"/>
              </w:rPr>
              <w:t>Quỹ Phát triển Khoa học và Công nghệ Thành phố</w:t>
            </w:r>
            <w:r w:rsidRPr="006D06E6">
              <w:rPr>
                <w:rFonts w:eastAsia="Times New Roman"/>
                <w:sz w:val="24"/>
              </w:rPr>
              <w:br/>
              <w:t>Công văn số 92/QKHCN-NV</w:t>
            </w:r>
          </w:p>
        </w:tc>
        <w:tc>
          <w:tcPr>
            <w:tcW w:w="5812" w:type="dxa"/>
            <w:tcMar>
              <w:top w:w="55" w:type="dxa"/>
              <w:left w:w="70" w:type="dxa"/>
              <w:bottom w:w="55" w:type="dxa"/>
              <w:right w:w="70" w:type="dxa"/>
            </w:tcMar>
            <w:vAlign w:val="center"/>
          </w:tcPr>
          <w:p w14:paraId="6233F388" w14:textId="77777777" w:rsidR="00474FA7" w:rsidRPr="006D06E6" w:rsidRDefault="00474FA7" w:rsidP="00474FA7">
            <w:pPr>
              <w:jc w:val="both"/>
              <w:rPr>
                <w:rFonts w:cs="Times New Roman"/>
                <w:b/>
                <w:bCs/>
                <w:sz w:val="24"/>
                <w:szCs w:val="24"/>
              </w:rPr>
            </w:pPr>
            <w:r w:rsidRPr="006D06E6">
              <w:rPr>
                <w:rFonts w:eastAsia="Times New Roman"/>
                <w:sz w:val="24"/>
              </w:rPr>
              <w:t>Đề nghị bổ sung điều kiện trung tâm ươm tạo “đã được công nhận theo quy định của pháp luật về khoa học, công nghệ và đổi mới sáng tạo” tại khoản 2 Điều 2 hoặc khoản 2 Điều 6 để bảo đảm thống nhất giữa nội dung dự thảo và nội dung giải trình, đồng thời làm rõ cơ sở pháp lý của tổ chức đăng ký thực hiện nhiệm vụ.</w:t>
            </w:r>
          </w:p>
        </w:tc>
        <w:tc>
          <w:tcPr>
            <w:tcW w:w="5953" w:type="dxa"/>
            <w:tcMar>
              <w:top w:w="55" w:type="dxa"/>
              <w:left w:w="70" w:type="dxa"/>
              <w:bottom w:w="55" w:type="dxa"/>
              <w:right w:w="70" w:type="dxa"/>
            </w:tcMar>
            <w:vAlign w:val="center"/>
          </w:tcPr>
          <w:p w14:paraId="7E1285FD" w14:textId="77777777" w:rsidR="00E83453" w:rsidRPr="006D06E6" w:rsidRDefault="00E83453" w:rsidP="00E83453">
            <w:pPr>
              <w:jc w:val="both"/>
              <w:rPr>
                <w:rFonts w:eastAsia="Times New Roman" w:cs="Times New Roman"/>
                <w:sz w:val="24"/>
                <w:szCs w:val="24"/>
              </w:rPr>
            </w:pPr>
            <w:r w:rsidRPr="006D06E6">
              <w:rPr>
                <w:rFonts w:eastAsia="Times New Roman"/>
                <w:sz w:val="24"/>
              </w:rPr>
              <w:t>Tiếp thu. Khoản 2 Điều 2 đã bổ sung yêu cầu trung tâm đổi mới sáng tạo, trung tâm hỗ trợ khởi nghiệp sáng tạo phải được công nhận theo quy định của Luật Khoa học, công nghệ và đổi mới sáng tạo, có tư cách pháp nhân và hoạt động trên địa bàn Thành phố.</w:t>
            </w:r>
          </w:p>
        </w:tc>
      </w:tr>
      <w:tr w:rsidR="006D06E6" w:rsidRPr="006D06E6" w14:paraId="4ACA4BE7" w14:textId="77777777" w:rsidTr="00B562A6">
        <w:tc>
          <w:tcPr>
            <w:tcW w:w="1900" w:type="dxa"/>
            <w:tcMar>
              <w:top w:w="55" w:type="dxa"/>
              <w:left w:w="70" w:type="dxa"/>
              <w:bottom w:w="55" w:type="dxa"/>
              <w:right w:w="70" w:type="dxa"/>
            </w:tcMar>
            <w:vAlign w:val="center"/>
          </w:tcPr>
          <w:p w14:paraId="6E4701DF" w14:textId="77777777" w:rsidR="00E83453" w:rsidRPr="006D06E6" w:rsidRDefault="00E83453" w:rsidP="00E83453">
            <w:pPr>
              <w:rPr>
                <w:rFonts w:cs="Times New Roman"/>
                <w:sz w:val="24"/>
                <w:szCs w:val="24"/>
              </w:rPr>
            </w:pPr>
            <w:r w:rsidRPr="006D06E6">
              <w:rPr>
                <w:rFonts w:eastAsia="Times New Roman"/>
                <w:sz w:val="24"/>
              </w:rPr>
              <w:lastRenderedPageBreak/>
              <w:t>Điều 2, Điều 3. Cách gọi “trung tâm ươm tạo”</w:t>
            </w:r>
          </w:p>
        </w:tc>
        <w:tc>
          <w:tcPr>
            <w:tcW w:w="1644" w:type="dxa"/>
            <w:tcMar>
              <w:top w:w="55" w:type="dxa"/>
              <w:left w:w="70" w:type="dxa"/>
              <w:bottom w:w="55" w:type="dxa"/>
              <w:right w:w="70" w:type="dxa"/>
            </w:tcMar>
            <w:vAlign w:val="center"/>
          </w:tcPr>
          <w:p w14:paraId="351FA8F8" w14:textId="77777777" w:rsidR="00E83453" w:rsidRPr="006D06E6" w:rsidRDefault="00474FA7" w:rsidP="00474FA7">
            <w:pPr>
              <w:jc w:val="center"/>
              <w:rPr>
                <w:sz w:val="24"/>
                <w:szCs w:val="24"/>
              </w:rPr>
            </w:pPr>
            <w:r w:rsidRPr="006D06E6">
              <w:rPr>
                <w:rFonts w:eastAsia="Times New Roman"/>
                <w:sz w:val="24"/>
              </w:rPr>
              <w:t>Quỹ Phát triển Khoa học và Công nghệ Thành phố</w:t>
            </w:r>
            <w:r w:rsidRPr="006D06E6">
              <w:rPr>
                <w:rFonts w:eastAsia="Times New Roman"/>
                <w:sz w:val="24"/>
              </w:rPr>
              <w:br/>
              <w:t>Công văn số 92/QKHCN-NV</w:t>
            </w:r>
          </w:p>
        </w:tc>
        <w:tc>
          <w:tcPr>
            <w:tcW w:w="5812" w:type="dxa"/>
            <w:tcMar>
              <w:top w:w="55" w:type="dxa"/>
              <w:left w:w="70" w:type="dxa"/>
              <w:bottom w:w="55" w:type="dxa"/>
              <w:right w:w="70" w:type="dxa"/>
            </w:tcMar>
            <w:vAlign w:val="center"/>
          </w:tcPr>
          <w:p w14:paraId="1AA20DBC" w14:textId="77777777" w:rsidR="00474FA7" w:rsidRPr="006D06E6" w:rsidRDefault="00474FA7" w:rsidP="00474FA7">
            <w:pPr>
              <w:jc w:val="both"/>
              <w:rPr>
                <w:rFonts w:cs="Times New Roman"/>
                <w:b/>
                <w:bCs/>
                <w:sz w:val="24"/>
                <w:szCs w:val="24"/>
              </w:rPr>
            </w:pPr>
            <w:r w:rsidRPr="006D06E6">
              <w:rPr>
                <w:rFonts w:eastAsia="Times New Roman"/>
                <w:sz w:val="24"/>
              </w:rPr>
              <w:t>Đề nghị chuyển nội dung giải thích “trung tâm ươm tạo” từ khoản 2 Điều 2 sang Điều 3 để bảo đảm thống nhất về kết cấu và kỹ thuật soạn thảo văn bản.</w:t>
            </w:r>
          </w:p>
        </w:tc>
        <w:tc>
          <w:tcPr>
            <w:tcW w:w="5953" w:type="dxa"/>
            <w:tcMar>
              <w:top w:w="55" w:type="dxa"/>
              <w:left w:w="70" w:type="dxa"/>
              <w:bottom w:w="55" w:type="dxa"/>
              <w:right w:w="70" w:type="dxa"/>
            </w:tcMar>
            <w:vAlign w:val="center"/>
          </w:tcPr>
          <w:p w14:paraId="55F59E64" w14:textId="77777777" w:rsidR="00E83453" w:rsidRPr="006D06E6" w:rsidRDefault="007B3C55" w:rsidP="00E83453">
            <w:pPr>
              <w:jc w:val="both"/>
              <w:rPr>
                <w:rFonts w:eastAsia="Times New Roman" w:cs="Times New Roman"/>
                <w:sz w:val="24"/>
                <w:szCs w:val="24"/>
              </w:rPr>
            </w:pPr>
            <w:r w:rsidRPr="006D06E6">
              <w:rPr>
                <w:sz w:val="24"/>
              </w:rPr>
              <w:t xml:space="preserve">Ghi nhận ý kiến. Tuy nhiên, </w:t>
            </w:r>
            <w:r w:rsidR="00E83453" w:rsidRPr="006D06E6">
              <w:rPr>
                <w:rFonts w:eastAsia="Times New Roman"/>
                <w:sz w:val="24"/>
              </w:rPr>
              <w:t>Cụm từ “sau đây gọi là trung tâm ươm tạo” tại khoản 2 Điều 2 chỉ là quy ước cách gọi chung để rút gọn tên của hai loại trung tâm trong toàn văn, không phải nội dung giải thích một khái niệm pháp lý mới. Vì vậy, cơ quan soạn thảo giữ cách thể hiện tại Điều 2.</w:t>
            </w:r>
          </w:p>
        </w:tc>
      </w:tr>
      <w:tr w:rsidR="006D06E6" w:rsidRPr="006D06E6" w14:paraId="52E21F2A" w14:textId="77777777" w:rsidTr="00B562A6">
        <w:tc>
          <w:tcPr>
            <w:tcW w:w="1900" w:type="dxa"/>
            <w:tcMar>
              <w:top w:w="55" w:type="dxa"/>
              <w:left w:w="70" w:type="dxa"/>
              <w:bottom w:w="55" w:type="dxa"/>
              <w:right w:w="70" w:type="dxa"/>
            </w:tcMar>
            <w:vAlign w:val="center"/>
          </w:tcPr>
          <w:p w14:paraId="4DCEB422" w14:textId="77777777" w:rsidR="00E83453" w:rsidRPr="006D06E6" w:rsidRDefault="00E83453" w:rsidP="00E83453">
            <w:pPr>
              <w:rPr>
                <w:rFonts w:cs="Times New Roman"/>
                <w:sz w:val="24"/>
                <w:szCs w:val="24"/>
              </w:rPr>
            </w:pPr>
            <w:r w:rsidRPr="006D06E6">
              <w:rPr>
                <w:rFonts w:eastAsia="Times New Roman"/>
                <w:sz w:val="24"/>
              </w:rPr>
              <w:t>Điều 11. Điều khoản chuyển tiếp</w:t>
            </w:r>
          </w:p>
        </w:tc>
        <w:tc>
          <w:tcPr>
            <w:tcW w:w="1644" w:type="dxa"/>
            <w:tcMar>
              <w:top w:w="55" w:type="dxa"/>
              <w:left w:w="70" w:type="dxa"/>
              <w:bottom w:w="55" w:type="dxa"/>
              <w:right w:w="70" w:type="dxa"/>
            </w:tcMar>
            <w:vAlign w:val="center"/>
          </w:tcPr>
          <w:p w14:paraId="0DE166AE" w14:textId="77777777" w:rsidR="00E83453" w:rsidRPr="006D06E6" w:rsidRDefault="00474FA7" w:rsidP="00474FA7">
            <w:pPr>
              <w:jc w:val="center"/>
              <w:rPr>
                <w:sz w:val="24"/>
                <w:szCs w:val="24"/>
              </w:rPr>
            </w:pPr>
            <w:r w:rsidRPr="006D06E6">
              <w:rPr>
                <w:rFonts w:eastAsia="Times New Roman"/>
                <w:sz w:val="24"/>
              </w:rPr>
              <w:t>Quỹ Phát triển Khoa học và Công nghệ Thành phố</w:t>
            </w:r>
            <w:r w:rsidRPr="006D06E6">
              <w:rPr>
                <w:rFonts w:eastAsia="Times New Roman"/>
                <w:sz w:val="24"/>
              </w:rPr>
              <w:br/>
              <w:t>Công văn số 92/QKHCN-NV</w:t>
            </w:r>
          </w:p>
        </w:tc>
        <w:tc>
          <w:tcPr>
            <w:tcW w:w="5812" w:type="dxa"/>
            <w:tcMar>
              <w:top w:w="55" w:type="dxa"/>
              <w:left w:w="70" w:type="dxa"/>
              <w:bottom w:w="55" w:type="dxa"/>
              <w:right w:w="70" w:type="dxa"/>
            </w:tcMar>
            <w:vAlign w:val="center"/>
          </w:tcPr>
          <w:p w14:paraId="1B2CCB06" w14:textId="77777777" w:rsidR="00474FA7" w:rsidRPr="006D06E6" w:rsidRDefault="00474FA7" w:rsidP="00474FA7">
            <w:pPr>
              <w:jc w:val="both"/>
              <w:rPr>
                <w:rFonts w:cs="Times New Roman"/>
                <w:b/>
                <w:bCs/>
                <w:sz w:val="24"/>
                <w:szCs w:val="24"/>
              </w:rPr>
            </w:pPr>
            <w:r w:rsidRPr="006D06E6">
              <w:rPr>
                <w:rFonts w:eastAsia="Times New Roman"/>
                <w:sz w:val="24"/>
              </w:rPr>
              <w:t>Đề nghị rà soát Điều 11, đặc biệt là các mốc thời gian ngày 01 tháng 10 năm 2025 và ngày Nghị quyết có hiệu lực; đồng thời làm rõ cơ sở và phạm vi áp dụng đối với các hồ sơ, nhiệm vụ đã phát sinh theo Nghị quyết số 20/2023/NQ-HĐND và Nghị quyết số 412/NQ-HĐND.</w:t>
            </w:r>
          </w:p>
        </w:tc>
        <w:tc>
          <w:tcPr>
            <w:tcW w:w="5953" w:type="dxa"/>
            <w:tcMar>
              <w:top w:w="55" w:type="dxa"/>
              <w:left w:w="70" w:type="dxa"/>
              <w:bottom w:w="55" w:type="dxa"/>
              <w:right w:w="70" w:type="dxa"/>
            </w:tcMar>
            <w:vAlign w:val="center"/>
          </w:tcPr>
          <w:p w14:paraId="2075664B" w14:textId="77777777" w:rsidR="00E83453" w:rsidRPr="006D06E6" w:rsidRDefault="00E83453" w:rsidP="00E83453">
            <w:pPr>
              <w:jc w:val="both"/>
              <w:rPr>
                <w:rFonts w:eastAsia="Times New Roman" w:cs="Times New Roman"/>
                <w:sz w:val="24"/>
                <w:szCs w:val="24"/>
              </w:rPr>
            </w:pPr>
            <w:r w:rsidRPr="006D06E6">
              <w:rPr>
                <w:rFonts w:eastAsia="Times New Roman"/>
                <w:sz w:val="24"/>
              </w:rPr>
              <w:t>Tiếp thu. Dự thảo đã rà soát, làm rõ các nhóm hồ sơ, nhiệm vụ chuyển tiếp theo thời điểm phát sinh và tình trạng phê duyệt; đồng thời xác định riêng trường hợp đề xuất theo Nghị quyết số 20/2023/NQ-HĐND, Nghị quyết số 412/NQ-HĐND chưa được phê duyệt khi Nghị quyết mới có hiệu lực. Việc dẫn chiếu quy định chuyển tiếp của Luật và Nghị định số 267/2025/NĐ-CP nhằm bảo đảm xử lý liên tục, không tạo cơ chế chuyển tiếp trái quy định cấp trên.</w:t>
            </w:r>
          </w:p>
        </w:tc>
      </w:tr>
      <w:tr w:rsidR="006D06E6" w:rsidRPr="006D06E6" w14:paraId="1F5CACA3" w14:textId="77777777" w:rsidTr="00B562A6">
        <w:tc>
          <w:tcPr>
            <w:tcW w:w="1900" w:type="dxa"/>
            <w:tcMar>
              <w:top w:w="55" w:type="dxa"/>
              <w:left w:w="70" w:type="dxa"/>
              <w:bottom w:w="55" w:type="dxa"/>
              <w:right w:w="70" w:type="dxa"/>
            </w:tcMar>
            <w:vAlign w:val="center"/>
          </w:tcPr>
          <w:p w14:paraId="47D278E1" w14:textId="77777777" w:rsidR="00E83453" w:rsidRPr="006D06E6" w:rsidRDefault="00E83453" w:rsidP="00E83453">
            <w:pPr>
              <w:rPr>
                <w:rFonts w:cs="Times New Roman"/>
                <w:sz w:val="24"/>
                <w:szCs w:val="24"/>
              </w:rPr>
            </w:pPr>
            <w:r w:rsidRPr="006D06E6">
              <w:rPr>
                <w:rFonts w:eastAsia="Times New Roman"/>
                <w:sz w:val="24"/>
              </w:rPr>
              <w:t>Điều 1. Phạm vi điều chỉnh</w:t>
            </w:r>
          </w:p>
        </w:tc>
        <w:tc>
          <w:tcPr>
            <w:tcW w:w="1644" w:type="dxa"/>
            <w:tcMar>
              <w:top w:w="55" w:type="dxa"/>
              <w:left w:w="70" w:type="dxa"/>
              <w:bottom w:w="55" w:type="dxa"/>
              <w:right w:w="70" w:type="dxa"/>
            </w:tcMar>
            <w:vAlign w:val="center"/>
          </w:tcPr>
          <w:p w14:paraId="70743BC8" w14:textId="77777777" w:rsidR="00E83453" w:rsidRPr="006D06E6" w:rsidRDefault="00E83453" w:rsidP="00E83453">
            <w:pPr>
              <w:jc w:val="center"/>
              <w:rPr>
                <w:rFonts w:cs="Times New Roman"/>
                <w:sz w:val="24"/>
                <w:szCs w:val="24"/>
              </w:rPr>
            </w:pPr>
            <w:r w:rsidRPr="006D06E6">
              <w:rPr>
                <w:rFonts w:eastAsia="Times New Roman"/>
                <w:sz w:val="24"/>
              </w:rPr>
              <w:t>Ban Quản lý Khu Công nghệ cao, Công văn số 1874/KCNC-QLKHCN&amp;HTQT, ngày 08/9/2026</w:t>
            </w:r>
          </w:p>
        </w:tc>
        <w:tc>
          <w:tcPr>
            <w:tcW w:w="5812" w:type="dxa"/>
            <w:tcMar>
              <w:top w:w="55" w:type="dxa"/>
              <w:left w:w="70" w:type="dxa"/>
              <w:bottom w:w="55" w:type="dxa"/>
              <w:right w:w="70" w:type="dxa"/>
            </w:tcMar>
            <w:vAlign w:val="center"/>
          </w:tcPr>
          <w:p w14:paraId="36266503" w14:textId="77777777" w:rsidR="00E83453" w:rsidRPr="006D06E6" w:rsidRDefault="00E83453" w:rsidP="00E83453">
            <w:pPr>
              <w:tabs>
                <w:tab w:val="left" w:pos="990"/>
              </w:tabs>
              <w:jc w:val="both"/>
              <w:rPr>
                <w:rFonts w:eastAsia="Times New Roman" w:cs="Times New Roman"/>
                <w:sz w:val="24"/>
                <w:szCs w:val="24"/>
              </w:rPr>
            </w:pPr>
            <w:r w:rsidRPr="006D06E6">
              <w:rPr>
                <w:rFonts w:eastAsia="Times New Roman"/>
                <w:sz w:val="24"/>
              </w:rPr>
              <w:t>1. Tại Điều 1 dự thảo Nghị quyết, đề nghị điều chỉnh thành “… điểm h khoản 2 Điều 30 Luật Phát triển đô thị” nhằm đảm bảo đúng điều khoản được quy định tại Luật Phát triển đô thị số 18/2026/QH16 ngày 24 tháng 8 năm 2026.</w:t>
            </w:r>
          </w:p>
        </w:tc>
        <w:tc>
          <w:tcPr>
            <w:tcW w:w="5953" w:type="dxa"/>
            <w:tcMar>
              <w:top w:w="55" w:type="dxa"/>
              <w:left w:w="70" w:type="dxa"/>
              <w:bottom w:w="55" w:type="dxa"/>
              <w:right w:w="70" w:type="dxa"/>
            </w:tcMar>
            <w:vAlign w:val="center"/>
          </w:tcPr>
          <w:p w14:paraId="79FDF994" w14:textId="77777777" w:rsidR="00E83453" w:rsidRPr="006D06E6" w:rsidRDefault="00E83453" w:rsidP="00E83453">
            <w:pPr>
              <w:jc w:val="both"/>
              <w:rPr>
                <w:rFonts w:cs="Times New Roman"/>
                <w:sz w:val="24"/>
                <w:szCs w:val="24"/>
              </w:rPr>
            </w:pPr>
            <w:r w:rsidRPr="006D06E6">
              <w:rPr>
                <w:rFonts w:eastAsia="Times New Roman"/>
                <w:sz w:val="24"/>
              </w:rPr>
              <w:t>Tiếp thu. Dự thảo Nghị quyết và hồ sơ đã được chỉnh lý thống nhất dẫn chiếu điểm h khoản 2 Điều 30 Luật Phát triển đô thị.</w:t>
            </w:r>
          </w:p>
        </w:tc>
      </w:tr>
      <w:tr w:rsidR="006D06E6" w:rsidRPr="006D06E6" w14:paraId="25E4AB88" w14:textId="77777777" w:rsidTr="00B562A6">
        <w:tc>
          <w:tcPr>
            <w:tcW w:w="1900" w:type="dxa"/>
            <w:tcMar>
              <w:top w:w="55" w:type="dxa"/>
              <w:left w:w="70" w:type="dxa"/>
              <w:bottom w:w="55" w:type="dxa"/>
              <w:right w:w="70" w:type="dxa"/>
            </w:tcMar>
            <w:vAlign w:val="center"/>
          </w:tcPr>
          <w:p w14:paraId="4157A515" w14:textId="77777777" w:rsidR="00E83453" w:rsidRPr="006D06E6" w:rsidRDefault="00E83453" w:rsidP="00E83453">
            <w:pPr>
              <w:rPr>
                <w:rFonts w:cs="Times New Roman"/>
                <w:sz w:val="24"/>
                <w:szCs w:val="24"/>
              </w:rPr>
            </w:pPr>
            <w:r w:rsidRPr="006D06E6">
              <w:rPr>
                <w:rFonts w:eastAsia="Times New Roman"/>
                <w:sz w:val="24"/>
              </w:rPr>
              <w:t>Điều 2. Đối tượng áp dụng</w:t>
            </w:r>
          </w:p>
        </w:tc>
        <w:tc>
          <w:tcPr>
            <w:tcW w:w="1644" w:type="dxa"/>
            <w:tcMar>
              <w:top w:w="55" w:type="dxa"/>
              <w:left w:w="70" w:type="dxa"/>
              <w:bottom w:w="55" w:type="dxa"/>
              <w:right w:w="70" w:type="dxa"/>
            </w:tcMar>
            <w:vAlign w:val="center"/>
          </w:tcPr>
          <w:p w14:paraId="5A64F57D" w14:textId="77777777" w:rsidR="00E83453" w:rsidRPr="006D06E6" w:rsidRDefault="00E83453" w:rsidP="00E83453">
            <w:pPr>
              <w:jc w:val="center"/>
              <w:rPr>
                <w:rFonts w:cs="Times New Roman"/>
                <w:sz w:val="24"/>
                <w:szCs w:val="24"/>
              </w:rPr>
            </w:pPr>
            <w:r w:rsidRPr="006D06E6">
              <w:rPr>
                <w:rFonts w:eastAsia="Times New Roman"/>
                <w:sz w:val="24"/>
              </w:rPr>
              <w:t>Ban Quản lý Khu Công nghệ cao, Công văn số 1874/KCNC-QLKHCN&amp;H</w:t>
            </w:r>
            <w:r w:rsidRPr="006D06E6">
              <w:rPr>
                <w:rFonts w:eastAsia="Times New Roman"/>
                <w:sz w:val="24"/>
              </w:rPr>
              <w:lastRenderedPageBreak/>
              <w:t>TQT, ngày 08/9/2026</w:t>
            </w:r>
          </w:p>
        </w:tc>
        <w:tc>
          <w:tcPr>
            <w:tcW w:w="5812" w:type="dxa"/>
            <w:tcMar>
              <w:top w:w="55" w:type="dxa"/>
              <w:left w:w="70" w:type="dxa"/>
              <w:bottom w:w="55" w:type="dxa"/>
              <w:right w:w="70" w:type="dxa"/>
            </w:tcMar>
            <w:vAlign w:val="center"/>
          </w:tcPr>
          <w:p w14:paraId="6E2A9499" w14:textId="77777777" w:rsidR="00E83453" w:rsidRPr="006D06E6" w:rsidRDefault="00E83453" w:rsidP="00E83453">
            <w:pPr>
              <w:tabs>
                <w:tab w:val="left" w:pos="990"/>
              </w:tabs>
              <w:jc w:val="both"/>
              <w:rPr>
                <w:rFonts w:eastAsia="Times New Roman" w:cs="Times New Roman"/>
                <w:sz w:val="24"/>
                <w:szCs w:val="24"/>
              </w:rPr>
            </w:pPr>
            <w:r w:rsidRPr="006D06E6">
              <w:rPr>
                <w:rFonts w:eastAsia="Times New Roman"/>
                <w:sz w:val="24"/>
              </w:rPr>
              <w:lastRenderedPageBreak/>
              <w:t xml:space="preserve">2. Tại khoản 2 Điều 2 dự thảo Nghị quyết, đề nghị điều chỉnh thành “Trung tâm đổi mới sáng tạo, trung tâm hỗ trợ khởi nghiệp sáng tạo, cơ sở ươm tạo (gọi tắt là trung tâm ươm tạo) trên địa bàn Thành phố Hồ Chí Minh” để phù hợp với các mô hình ươm tạo hiện nay đang có, đồng thời giúp </w:t>
            </w:r>
            <w:r w:rsidRPr="006D06E6">
              <w:rPr>
                <w:rFonts w:eastAsia="Times New Roman"/>
                <w:sz w:val="24"/>
              </w:rPr>
              <w:lastRenderedPageBreak/>
              <w:t>định danh pháp lý rõ ràng, tránh vướng mắc khi thụ hưởng chính sách.</w:t>
            </w:r>
          </w:p>
        </w:tc>
        <w:tc>
          <w:tcPr>
            <w:tcW w:w="5953" w:type="dxa"/>
            <w:tcMar>
              <w:top w:w="55" w:type="dxa"/>
              <w:left w:w="70" w:type="dxa"/>
              <w:bottom w:w="55" w:type="dxa"/>
              <w:right w:w="70" w:type="dxa"/>
            </w:tcMar>
            <w:vAlign w:val="center"/>
          </w:tcPr>
          <w:p w14:paraId="7293A9C4" w14:textId="77777777" w:rsidR="00E83453" w:rsidRPr="006D06E6" w:rsidRDefault="007B3C55" w:rsidP="00E83453">
            <w:pPr>
              <w:jc w:val="both"/>
              <w:rPr>
                <w:rFonts w:cs="Times New Roman"/>
                <w:sz w:val="24"/>
                <w:szCs w:val="24"/>
              </w:rPr>
            </w:pPr>
            <w:r w:rsidRPr="006D06E6">
              <w:rPr>
                <w:sz w:val="24"/>
              </w:rPr>
              <w:lastRenderedPageBreak/>
              <w:t xml:space="preserve">Ghi nhận ý kiến. Tuy nhiên, </w:t>
            </w:r>
            <w:r w:rsidR="00E83453" w:rsidRPr="006D06E6">
              <w:rPr>
                <w:rFonts w:eastAsia="Times New Roman"/>
                <w:sz w:val="24"/>
              </w:rPr>
              <w:t xml:space="preserve">Dự thảo xác định chủ thể đăng ký là trung tâm đổi mới sáng tạo, trung tâm hỗ trợ khởi nghiệp sáng tạo được công nhận theo Luật Khoa học, công nghệ và đổi mới sáng tạo, có tư cách pháp nhân và hoạt động trên địa bàn Thành phố. Cơ sở ươm tạo hoặc tổ chức hỗ trợ khác có thể tham gia cung cấp dịch vụ, hạ tầng, chuyên gia theo quy </w:t>
            </w:r>
            <w:r w:rsidR="00E83453" w:rsidRPr="006D06E6">
              <w:rPr>
                <w:rFonts w:eastAsia="Times New Roman"/>
                <w:sz w:val="24"/>
              </w:rPr>
              <w:lastRenderedPageBreak/>
              <w:t>định nhưng không thuộc đối tượng đăng ký trực tiếp nếu chưa đáp ứng điều kiện của Nghị quyết.</w:t>
            </w:r>
          </w:p>
        </w:tc>
      </w:tr>
      <w:tr w:rsidR="006D06E6" w:rsidRPr="006D06E6" w14:paraId="7B143BB7" w14:textId="77777777" w:rsidTr="00B562A6">
        <w:tc>
          <w:tcPr>
            <w:tcW w:w="1900" w:type="dxa"/>
            <w:tcMar>
              <w:top w:w="55" w:type="dxa"/>
              <w:left w:w="70" w:type="dxa"/>
              <w:bottom w:w="55" w:type="dxa"/>
              <w:right w:w="70" w:type="dxa"/>
            </w:tcMar>
            <w:vAlign w:val="center"/>
          </w:tcPr>
          <w:p w14:paraId="50954677" w14:textId="77777777" w:rsidR="00E83453" w:rsidRPr="006D06E6" w:rsidRDefault="00E83453" w:rsidP="00E83453">
            <w:pPr>
              <w:rPr>
                <w:rFonts w:cs="Times New Roman"/>
                <w:sz w:val="24"/>
                <w:szCs w:val="24"/>
              </w:rPr>
            </w:pPr>
            <w:r w:rsidRPr="006D06E6">
              <w:rPr>
                <w:rFonts w:eastAsia="Times New Roman"/>
                <w:sz w:val="24"/>
              </w:rPr>
              <w:lastRenderedPageBreak/>
              <w:t>Điều 8. Cơ chế thực hiện đối với đơn vị công lập</w:t>
            </w:r>
          </w:p>
        </w:tc>
        <w:tc>
          <w:tcPr>
            <w:tcW w:w="1644" w:type="dxa"/>
            <w:tcMar>
              <w:top w:w="55" w:type="dxa"/>
              <w:left w:w="70" w:type="dxa"/>
              <w:bottom w:w="55" w:type="dxa"/>
              <w:right w:w="70" w:type="dxa"/>
            </w:tcMar>
            <w:vAlign w:val="center"/>
          </w:tcPr>
          <w:p w14:paraId="09BD16B4" w14:textId="77777777" w:rsidR="00E83453" w:rsidRPr="006D06E6" w:rsidRDefault="00E83453" w:rsidP="00E83453">
            <w:pPr>
              <w:jc w:val="center"/>
              <w:rPr>
                <w:rFonts w:cs="Times New Roman"/>
                <w:sz w:val="24"/>
                <w:szCs w:val="24"/>
              </w:rPr>
            </w:pPr>
            <w:r w:rsidRPr="006D06E6">
              <w:rPr>
                <w:rFonts w:eastAsia="Times New Roman"/>
                <w:sz w:val="24"/>
              </w:rPr>
              <w:t>Ban Quản lý Khu Công nghệ cao, Công văn số 1874/KCNC-QLKHCN&amp;HTQT, ngày 08/9/2026</w:t>
            </w:r>
          </w:p>
        </w:tc>
        <w:tc>
          <w:tcPr>
            <w:tcW w:w="5812" w:type="dxa"/>
            <w:tcMar>
              <w:top w:w="55" w:type="dxa"/>
              <w:left w:w="70" w:type="dxa"/>
              <w:bottom w:w="55" w:type="dxa"/>
              <w:right w:w="70" w:type="dxa"/>
            </w:tcMar>
            <w:vAlign w:val="center"/>
          </w:tcPr>
          <w:p w14:paraId="361CB834" w14:textId="77777777" w:rsidR="00E83453" w:rsidRPr="006D06E6" w:rsidRDefault="00E83453" w:rsidP="00E83453">
            <w:pPr>
              <w:tabs>
                <w:tab w:val="left" w:pos="990"/>
              </w:tabs>
              <w:jc w:val="both"/>
              <w:rPr>
                <w:rFonts w:eastAsia="Times New Roman" w:cs="Times New Roman"/>
                <w:sz w:val="24"/>
                <w:szCs w:val="24"/>
              </w:rPr>
            </w:pPr>
            <w:r w:rsidRPr="006D06E6">
              <w:rPr>
                <w:rFonts w:eastAsia="Times New Roman"/>
                <w:sz w:val="24"/>
              </w:rPr>
              <w:t>3. Tại Điều 8 dự thảo Nghị quyết, đề nghị bổ sung quy định về cơ chế áp dụng trực tiếp đối với trung tâm ươm tạo công lập được bố trí ngân sách hằng năm; theo đó cho phép các đơn vị này trực tiếp áp dụng tiêu chí, điều kiện, nội dung và mức hỗ trợ để tuyển chọn, chi hỗ trợ cho dự án từ dự toán được giao và không phải thực hiện trình tự đăng ký, thẩm định, phê duyệt nhiệm vụ hỗ trợ khởi nghiệp sáng tạo.</w:t>
            </w:r>
          </w:p>
        </w:tc>
        <w:tc>
          <w:tcPr>
            <w:tcW w:w="5953" w:type="dxa"/>
            <w:tcMar>
              <w:top w:w="55" w:type="dxa"/>
              <w:left w:w="70" w:type="dxa"/>
              <w:bottom w:w="55" w:type="dxa"/>
              <w:right w:w="70" w:type="dxa"/>
            </w:tcMar>
            <w:vAlign w:val="center"/>
          </w:tcPr>
          <w:p w14:paraId="06D3814E" w14:textId="77777777" w:rsidR="00E83453" w:rsidRPr="006D06E6" w:rsidRDefault="007B3C55" w:rsidP="00E83453">
            <w:pPr>
              <w:jc w:val="both"/>
              <w:rPr>
                <w:rFonts w:cs="Times New Roman"/>
                <w:sz w:val="24"/>
                <w:szCs w:val="24"/>
              </w:rPr>
            </w:pPr>
            <w:r w:rsidRPr="006D06E6">
              <w:rPr>
                <w:sz w:val="24"/>
              </w:rPr>
              <w:t xml:space="preserve">Ghi nhận ý kiến. Tuy nhiên, </w:t>
            </w:r>
            <w:r w:rsidR="00E83453" w:rsidRPr="006D06E6">
              <w:rPr>
                <w:rFonts w:eastAsia="Times New Roman"/>
                <w:sz w:val="24"/>
              </w:rPr>
              <w:t>Dự thảo tổ chức hỗ trợ dưới hình thức nhiệm vụ hỗ trợ khởi nghiệp sáng tạo theo Nghị định số 268/2025/NĐ-CP. Việc thiết lập cơ chế chi hỗ trợ trực tiếp từ dự toán hằng năm và miễn trình tự đăng ký, thẩm định, phê duyệt nhiệm vụ đối với đơn vị công lập sẽ tạo cơ chế song song, không thống nhất với mô hình quản lý, kiểm soát, phê duyệt và quyết toán kinh phí của nhiệm vụ. Việc áp dụng các chính sách khác của Hội đồng nhân dân Thành phố thực hiện theo phạm vi, đối tượng, điều kiện của từng chính sách và nguyên tắc không hỗ trợ trùng lặp.</w:t>
            </w:r>
          </w:p>
        </w:tc>
      </w:tr>
      <w:tr w:rsidR="006D06E6" w:rsidRPr="006D06E6" w14:paraId="6D4500CA" w14:textId="77777777" w:rsidTr="00B562A6">
        <w:tc>
          <w:tcPr>
            <w:tcW w:w="1900" w:type="dxa"/>
            <w:tcMar>
              <w:top w:w="55" w:type="dxa"/>
              <w:left w:w="70" w:type="dxa"/>
              <w:bottom w:w="55" w:type="dxa"/>
              <w:right w:w="70" w:type="dxa"/>
            </w:tcMar>
          </w:tcPr>
          <w:p w14:paraId="5243C607" w14:textId="77777777" w:rsidR="00F12318" w:rsidRPr="006D06E6" w:rsidRDefault="00F12318" w:rsidP="00F12318">
            <w:pPr>
              <w:jc w:val="both"/>
              <w:rPr>
                <w:rFonts w:cs="Times New Roman"/>
                <w:sz w:val="24"/>
                <w:szCs w:val="24"/>
              </w:rPr>
            </w:pPr>
            <w:r w:rsidRPr="006D06E6">
              <w:rPr>
                <w:rFonts w:eastAsia="Times New Roman" w:cs="Times New Roman"/>
                <w:sz w:val="24"/>
                <w:szCs w:val="24"/>
              </w:rPr>
              <w:t>Toàn bộ hồ sơ dự thảo</w:t>
            </w:r>
          </w:p>
        </w:tc>
        <w:tc>
          <w:tcPr>
            <w:tcW w:w="1644" w:type="dxa"/>
            <w:tcMar>
              <w:top w:w="55" w:type="dxa"/>
              <w:left w:w="70" w:type="dxa"/>
              <w:bottom w:w="55" w:type="dxa"/>
              <w:right w:w="70" w:type="dxa"/>
            </w:tcMar>
          </w:tcPr>
          <w:p w14:paraId="0D10DFC6" w14:textId="77777777" w:rsidR="00F12318" w:rsidRPr="006D06E6" w:rsidRDefault="00F12318" w:rsidP="00F12318">
            <w:pPr>
              <w:jc w:val="center"/>
              <w:rPr>
                <w:rFonts w:eastAsia="Times New Roman" w:cs="Times New Roman"/>
                <w:sz w:val="24"/>
                <w:szCs w:val="24"/>
              </w:rPr>
            </w:pPr>
            <w:r w:rsidRPr="006D06E6">
              <w:rPr>
                <w:rFonts w:eastAsia="Times New Roman" w:cs="Times New Roman"/>
                <w:sz w:val="24"/>
                <w:szCs w:val="24"/>
              </w:rPr>
              <w:t>Sở Du lịch, 3145/SDL-VP ngày 04/9/2026</w:t>
            </w:r>
          </w:p>
          <w:p w14:paraId="5B65719D" w14:textId="77777777" w:rsidR="00F12318" w:rsidRPr="006D06E6" w:rsidRDefault="00F12318" w:rsidP="00F12318">
            <w:pPr>
              <w:jc w:val="center"/>
              <w:rPr>
                <w:rFonts w:cs="Times New Roman"/>
                <w:sz w:val="24"/>
                <w:szCs w:val="24"/>
              </w:rPr>
            </w:pPr>
            <w:r w:rsidRPr="006D06E6">
              <w:rPr>
                <w:rFonts w:eastAsia="Times New Roman" w:cs="Times New Roman"/>
                <w:sz w:val="24"/>
                <w:szCs w:val="24"/>
              </w:rPr>
              <w:t>Công văn số 3151/SDL-KTPC ngày 04/9/2026</w:t>
            </w:r>
          </w:p>
        </w:tc>
        <w:tc>
          <w:tcPr>
            <w:tcW w:w="5812" w:type="dxa"/>
            <w:tcMar>
              <w:top w:w="55" w:type="dxa"/>
              <w:left w:w="70" w:type="dxa"/>
              <w:bottom w:w="55" w:type="dxa"/>
              <w:right w:w="70" w:type="dxa"/>
            </w:tcMar>
          </w:tcPr>
          <w:p w14:paraId="5DC48733" w14:textId="77777777" w:rsidR="00F12318" w:rsidRPr="006D06E6" w:rsidRDefault="00F12318" w:rsidP="00F12318">
            <w:pPr>
              <w:jc w:val="both"/>
              <w:rPr>
                <w:rFonts w:cs="Times New Roman"/>
                <w:sz w:val="24"/>
                <w:szCs w:val="24"/>
              </w:rPr>
            </w:pPr>
            <w:r w:rsidRPr="006D06E6">
              <w:rPr>
                <w:rFonts w:eastAsia="Times New Roman" w:cs="Times New Roman"/>
                <w:sz w:val="24"/>
                <w:szCs w:val="24"/>
              </w:rPr>
              <w:t>Thống nhất nội dung</w:t>
            </w:r>
          </w:p>
        </w:tc>
        <w:tc>
          <w:tcPr>
            <w:tcW w:w="5953" w:type="dxa"/>
            <w:tcMar>
              <w:top w:w="55" w:type="dxa"/>
              <w:left w:w="70" w:type="dxa"/>
              <w:bottom w:w="55" w:type="dxa"/>
              <w:right w:w="70" w:type="dxa"/>
            </w:tcMar>
          </w:tcPr>
          <w:p w14:paraId="57839055" w14:textId="77777777" w:rsidR="00F12318" w:rsidRPr="006D06E6" w:rsidRDefault="00F12318" w:rsidP="00F12318">
            <w:pPr>
              <w:jc w:val="both"/>
              <w:rPr>
                <w:rFonts w:eastAsia="Times New Roman" w:cs="Times New Roman"/>
                <w:sz w:val="24"/>
                <w:szCs w:val="24"/>
              </w:rPr>
            </w:pPr>
            <w:r w:rsidRPr="006D06E6">
              <w:rPr>
                <w:rFonts w:eastAsia="Times New Roman" w:cs="Times New Roman"/>
                <w:sz w:val="24"/>
                <w:szCs w:val="24"/>
              </w:rPr>
              <w:t>Sở Khoa học và Công nghệ ghi nhận ý kiến thống nhất.</w:t>
            </w:r>
          </w:p>
        </w:tc>
      </w:tr>
    </w:tbl>
    <w:p w14:paraId="0B3C4584" w14:textId="77777777" w:rsidR="00D5207D" w:rsidRPr="006D06E6" w:rsidRDefault="00B562A6" w:rsidP="000D3480">
      <w:pPr>
        <w:keepNext/>
        <w:spacing w:before="120" w:after="120" w:line="240" w:lineRule="auto"/>
        <w:jc w:val="both"/>
        <w:rPr>
          <w:szCs w:val="28"/>
        </w:rPr>
      </w:pPr>
      <w:r w:rsidRPr="006D06E6">
        <w:rPr>
          <w:rFonts w:eastAsia="Times New Roman"/>
          <w:b/>
          <w:szCs w:val="28"/>
        </w:rPr>
        <w:t xml:space="preserve">D. Ý KIẾN CỦA CÁC </w:t>
      </w:r>
      <w:r w:rsidR="00585AEE" w:rsidRPr="006D06E6">
        <w:rPr>
          <w:rFonts w:eastAsia="Times New Roman"/>
          <w:b/>
          <w:szCs w:val="28"/>
        </w:rPr>
        <w:t>TỔ CHỨC, CÁ NHÂN KHÁC CÓ LIÊN QUAN</w:t>
      </w:r>
    </w:p>
    <w:p w14:paraId="22437D72" w14:textId="77777777" w:rsidR="00D5207D" w:rsidRPr="006D06E6" w:rsidRDefault="00B562A6" w:rsidP="000D3480">
      <w:pPr>
        <w:spacing w:before="120" w:after="120" w:line="240" w:lineRule="auto"/>
        <w:jc w:val="both"/>
        <w:rPr>
          <w:szCs w:val="28"/>
        </w:rPr>
      </w:pPr>
      <w:r w:rsidRPr="006D06E6">
        <w:rPr>
          <w:rFonts w:eastAsia="Times New Roman"/>
          <w:b/>
          <w:szCs w:val="28"/>
        </w:rPr>
        <w:t>I. Các tổ chức, cá nhân khác có liên quan có ý kiến cụ thể được tổng hợp tại Bảng dưới đây.</w:t>
      </w:r>
    </w:p>
    <w:p w14:paraId="12304380" w14:textId="77777777" w:rsidR="00D5207D" w:rsidRPr="006D06E6" w:rsidRDefault="00B562A6" w:rsidP="000D3480">
      <w:pPr>
        <w:spacing w:before="120" w:after="120" w:line="240" w:lineRule="auto"/>
        <w:jc w:val="both"/>
        <w:rPr>
          <w:szCs w:val="28"/>
        </w:rPr>
      </w:pPr>
      <w:r w:rsidRPr="006D06E6">
        <w:rPr>
          <w:rFonts w:eastAsia="Times New Roman"/>
          <w:b/>
          <w:szCs w:val="28"/>
        </w:rPr>
        <w:t xml:space="preserve">II. </w:t>
      </w:r>
      <w:r w:rsidRPr="006D06E6">
        <w:rPr>
          <w:rFonts w:eastAsia="Times New Roman"/>
          <w:szCs w:val="28"/>
        </w:rPr>
        <w:t>Kết quả cụ thể như sau:</w:t>
      </w:r>
      <w:r w:rsidR="007D1803" w:rsidRPr="006D06E6">
        <w:rPr>
          <w:rFonts w:eastAsia="Times New Roman"/>
          <w:szCs w:val="28"/>
        </w:rPr>
        <w:t xml:space="preserve"> </w:t>
      </w:r>
    </w:p>
    <w:tbl>
      <w:tblPr>
        <w:tblStyle w:val="TableGrid"/>
        <w:tblW w:w="15309" w:type="dxa"/>
        <w:tblInd w:w="-572" w:type="dxa"/>
        <w:tblLayout w:type="fixed"/>
        <w:tblLook w:val="04A0" w:firstRow="1" w:lastRow="0" w:firstColumn="1" w:lastColumn="0" w:noHBand="0" w:noVBand="1"/>
      </w:tblPr>
      <w:tblGrid>
        <w:gridCol w:w="1900"/>
        <w:gridCol w:w="1644"/>
        <w:gridCol w:w="5812"/>
        <w:gridCol w:w="5953"/>
      </w:tblGrid>
      <w:tr w:rsidR="006D06E6" w:rsidRPr="006D06E6" w14:paraId="5B750018" w14:textId="77777777" w:rsidTr="000D3480">
        <w:trPr>
          <w:tblHeader/>
        </w:trPr>
        <w:tc>
          <w:tcPr>
            <w:tcW w:w="1900" w:type="dxa"/>
            <w:tcMar>
              <w:top w:w="55" w:type="dxa"/>
              <w:left w:w="70" w:type="dxa"/>
              <w:bottom w:w="55" w:type="dxa"/>
              <w:right w:w="70" w:type="dxa"/>
            </w:tcMar>
            <w:vAlign w:val="center"/>
          </w:tcPr>
          <w:p w14:paraId="609A4B1B" w14:textId="77777777" w:rsidR="00D5207D" w:rsidRPr="006D06E6" w:rsidRDefault="00B562A6">
            <w:pPr>
              <w:jc w:val="center"/>
              <w:rPr>
                <w:sz w:val="24"/>
                <w:szCs w:val="24"/>
              </w:rPr>
            </w:pPr>
            <w:r w:rsidRPr="006D06E6">
              <w:rPr>
                <w:rFonts w:eastAsia="Times New Roman"/>
                <w:b/>
                <w:sz w:val="24"/>
                <w:szCs w:val="24"/>
              </w:rPr>
              <w:t>NHÓM VẤN ĐỀ</w:t>
            </w:r>
            <w:r w:rsidRPr="006D06E6">
              <w:rPr>
                <w:rFonts w:eastAsia="Times New Roman"/>
                <w:b/>
                <w:sz w:val="24"/>
                <w:szCs w:val="24"/>
              </w:rPr>
              <w:br/>
              <w:t>HOẶC ĐIỀU, KHOẢN</w:t>
            </w:r>
          </w:p>
        </w:tc>
        <w:tc>
          <w:tcPr>
            <w:tcW w:w="1644" w:type="dxa"/>
            <w:tcMar>
              <w:top w:w="55" w:type="dxa"/>
              <w:left w:w="70" w:type="dxa"/>
              <w:bottom w:w="55" w:type="dxa"/>
              <w:right w:w="70" w:type="dxa"/>
            </w:tcMar>
            <w:vAlign w:val="center"/>
          </w:tcPr>
          <w:p w14:paraId="1A404133" w14:textId="77777777" w:rsidR="00D5207D" w:rsidRPr="006D06E6" w:rsidRDefault="00B562A6">
            <w:pPr>
              <w:jc w:val="center"/>
              <w:rPr>
                <w:sz w:val="24"/>
                <w:szCs w:val="24"/>
              </w:rPr>
            </w:pPr>
            <w:r w:rsidRPr="006D06E6">
              <w:rPr>
                <w:rFonts w:eastAsia="Times New Roman"/>
                <w:b/>
                <w:sz w:val="24"/>
                <w:szCs w:val="24"/>
              </w:rPr>
              <w:t>CHỦ THỂ GÓP Ý</w:t>
            </w:r>
          </w:p>
        </w:tc>
        <w:tc>
          <w:tcPr>
            <w:tcW w:w="5812" w:type="dxa"/>
            <w:tcMar>
              <w:top w:w="55" w:type="dxa"/>
              <w:left w:w="70" w:type="dxa"/>
              <w:bottom w:w="55" w:type="dxa"/>
              <w:right w:w="70" w:type="dxa"/>
            </w:tcMar>
            <w:vAlign w:val="center"/>
          </w:tcPr>
          <w:p w14:paraId="2E11F4B4" w14:textId="77777777" w:rsidR="00D5207D" w:rsidRPr="006D06E6" w:rsidRDefault="00B562A6">
            <w:pPr>
              <w:jc w:val="center"/>
              <w:rPr>
                <w:sz w:val="24"/>
                <w:szCs w:val="24"/>
              </w:rPr>
            </w:pPr>
            <w:r w:rsidRPr="006D06E6">
              <w:rPr>
                <w:rFonts w:eastAsia="Times New Roman"/>
                <w:b/>
                <w:sz w:val="24"/>
                <w:szCs w:val="24"/>
              </w:rPr>
              <w:t>NỘI DUNG GÓP Ý</w:t>
            </w:r>
          </w:p>
        </w:tc>
        <w:tc>
          <w:tcPr>
            <w:tcW w:w="5953" w:type="dxa"/>
            <w:tcMar>
              <w:top w:w="55" w:type="dxa"/>
              <w:left w:w="70" w:type="dxa"/>
              <w:bottom w:w="55" w:type="dxa"/>
              <w:right w:w="70" w:type="dxa"/>
            </w:tcMar>
            <w:vAlign w:val="center"/>
          </w:tcPr>
          <w:p w14:paraId="01E5798E" w14:textId="77777777" w:rsidR="00D5207D" w:rsidRPr="006D06E6" w:rsidRDefault="00B562A6">
            <w:pPr>
              <w:jc w:val="center"/>
              <w:rPr>
                <w:sz w:val="24"/>
                <w:szCs w:val="24"/>
              </w:rPr>
            </w:pPr>
            <w:r w:rsidRPr="006D06E6">
              <w:rPr>
                <w:rFonts w:eastAsia="Times New Roman"/>
                <w:b/>
                <w:sz w:val="24"/>
                <w:szCs w:val="24"/>
              </w:rPr>
              <w:t>NỘI DUNG TIẾP THU,</w:t>
            </w:r>
            <w:r w:rsidRPr="006D06E6">
              <w:rPr>
                <w:rFonts w:eastAsia="Times New Roman"/>
                <w:b/>
                <w:sz w:val="24"/>
                <w:szCs w:val="24"/>
              </w:rPr>
              <w:br/>
              <w:t>GIẢI TRÌNH</w:t>
            </w:r>
          </w:p>
        </w:tc>
      </w:tr>
      <w:tr w:rsidR="006D06E6" w:rsidRPr="006D06E6" w14:paraId="1DCA100C" w14:textId="77777777" w:rsidTr="000D3480">
        <w:tc>
          <w:tcPr>
            <w:tcW w:w="1900" w:type="dxa"/>
            <w:tcMar>
              <w:top w:w="55" w:type="dxa"/>
              <w:left w:w="70" w:type="dxa"/>
              <w:bottom w:w="55" w:type="dxa"/>
              <w:right w:w="70" w:type="dxa"/>
            </w:tcMar>
          </w:tcPr>
          <w:p w14:paraId="32918BD0" w14:textId="77777777" w:rsidR="00474FA7" w:rsidRPr="006D06E6" w:rsidRDefault="00474FA7" w:rsidP="00474FA7">
            <w:pPr>
              <w:jc w:val="both"/>
              <w:rPr>
                <w:rFonts w:cs="Times New Roman"/>
                <w:sz w:val="24"/>
                <w:szCs w:val="24"/>
              </w:rPr>
            </w:pPr>
          </w:p>
        </w:tc>
        <w:tc>
          <w:tcPr>
            <w:tcW w:w="1644" w:type="dxa"/>
            <w:tcMar>
              <w:top w:w="55" w:type="dxa"/>
              <w:left w:w="70" w:type="dxa"/>
              <w:bottom w:w="55" w:type="dxa"/>
              <w:right w:w="70" w:type="dxa"/>
            </w:tcMar>
          </w:tcPr>
          <w:p w14:paraId="14AD750B" w14:textId="77777777" w:rsidR="00474FA7" w:rsidRPr="006D06E6" w:rsidRDefault="005666A1" w:rsidP="00474FA7">
            <w:pPr>
              <w:jc w:val="center"/>
              <w:rPr>
                <w:rFonts w:cs="Times New Roman"/>
                <w:sz w:val="24"/>
                <w:szCs w:val="24"/>
              </w:rPr>
            </w:pPr>
            <w:r w:rsidRPr="006D06E6">
              <w:rPr>
                <w:rFonts w:cs="Times New Roman"/>
                <w:sz w:val="24"/>
                <w:szCs w:val="24"/>
              </w:rPr>
              <w:t xml:space="preserve">Trung tâm đổi mới sáng tạo </w:t>
            </w:r>
            <w:r w:rsidRPr="006D06E6">
              <w:rPr>
                <w:rFonts w:cs="Times New Roman"/>
                <w:sz w:val="24"/>
                <w:szCs w:val="24"/>
              </w:rPr>
              <w:lastRenderedPageBreak/>
              <w:t>và khởi nghiệp trường Đại học Công Thương TP.HCM</w:t>
            </w:r>
          </w:p>
        </w:tc>
        <w:tc>
          <w:tcPr>
            <w:tcW w:w="5812" w:type="dxa"/>
            <w:tcMar>
              <w:top w:w="55" w:type="dxa"/>
              <w:left w:w="70" w:type="dxa"/>
              <w:bottom w:w="55" w:type="dxa"/>
              <w:right w:w="70" w:type="dxa"/>
            </w:tcMar>
          </w:tcPr>
          <w:p w14:paraId="5D6FEF9A" w14:textId="77777777" w:rsidR="005666A1" w:rsidRPr="006D06E6" w:rsidRDefault="005666A1" w:rsidP="005666A1">
            <w:pPr>
              <w:tabs>
                <w:tab w:val="left" w:pos="4781"/>
              </w:tabs>
              <w:rPr>
                <w:rFonts w:cs="Times New Roman"/>
                <w:sz w:val="24"/>
                <w:szCs w:val="24"/>
              </w:rPr>
            </w:pPr>
            <w:r w:rsidRPr="006D06E6">
              <w:rPr>
                <w:rFonts w:cs="Times New Roman"/>
                <w:sz w:val="24"/>
                <w:szCs w:val="24"/>
              </w:rPr>
              <w:lastRenderedPageBreak/>
              <w:t xml:space="preserve">Xem xét tiêu chí cho phép các trung tâm hỗ trợ khởi nghiệp đổi mới sáng tạo được thành lập trực thuộc các </w:t>
            </w:r>
            <w:r w:rsidRPr="006D06E6">
              <w:rPr>
                <w:rFonts w:cs="Times New Roman"/>
                <w:sz w:val="24"/>
                <w:szCs w:val="24"/>
              </w:rPr>
              <w:lastRenderedPageBreak/>
              <w:t>trường Đại học trên địa bàn thành phố được thực nhiệm các nhiệm vụ tuyển chọn và ươm tạo theo NQ này không nhất thiết phải có pháp nhân riêng vì các trung tâm thuộc trường Đại học có nguồn lực về cơ sở hạ tầng, phòng lab, chuyên gia,… rất tốt để ươm tạo hỗ trợ cho các startup và có đủ điều kiện thể hoạch toán được các nguồn thu từ các hoạt động này.</w:t>
            </w:r>
          </w:p>
        </w:tc>
        <w:tc>
          <w:tcPr>
            <w:tcW w:w="5953" w:type="dxa"/>
            <w:tcMar>
              <w:top w:w="55" w:type="dxa"/>
              <w:left w:w="70" w:type="dxa"/>
              <w:bottom w:w="55" w:type="dxa"/>
              <w:right w:w="70" w:type="dxa"/>
            </w:tcMar>
          </w:tcPr>
          <w:p w14:paraId="2A47C129" w14:textId="77777777" w:rsidR="00474FA7" w:rsidRPr="006D06E6" w:rsidRDefault="007B3C55" w:rsidP="007B3C55">
            <w:pPr>
              <w:jc w:val="both"/>
              <w:rPr>
                <w:rFonts w:cs="Times New Roman"/>
                <w:sz w:val="24"/>
                <w:szCs w:val="24"/>
              </w:rPr>
            </w:pPr>
            <w:r w:rsidRPr="006D06E6">
              <w:rPr>
                <w:sz w:val="24"/>
                <w:szCs w:val="24"/>
              </w:rPr>
              <w:lastRenderedPageBreak/>
              <w:t>Ghi nhận ý kiến. Tuy nhiên,</w:t>
            </w:r>
            <w:r w:rsidR="00474FA7" w:rsidRPr="006D06E6">
              <w:rPr>
                <w:sz w:val="24"/>
                <w:szCs w:val="24"/>
              </w:rPr>
              <w:t xml:space="preserve"> Dự thảo xác định trung tâm ươm tạo đăng ký thực hiện nhiệm vụ phải là trung tâm đổi mới </w:t>
            </w:r>
            <w:r w:rsidR="00474FA7" w:rsidRPr="006D06E6">
              <w:rPr>
                <w:sz w:val="24"/>
                <w:szCs w:val="24"/>
              </w:rPr>
              <w:lastRenderedPageBreak/>
              <w:t>sáng tạo hoặc trung tâm hỗ trợ khởi nghiệp sáng tạo được công nhận theo quy định của Luật Khoa học, công nghệ và đổi mới sáng tạo, có tư cách pháp nhân và hoạt động trên địa bàn Thành phố. Trường hợp trung tâm trực thuộc trường đại học có tư cách pháp nhân và đáp ứng yêu cầu công nhận thì được đăng ký thực hiện nhiệm vụ; trường hợp không có tư cách pháp nhân không thuộc đối tượng đăng ký trực tiếp.</w:t>
            </w:r>
          </w:p>
        </w:tc>
      </w:tr>
      <w:tr w:rsidR="006D06E6" w:rsidRPr="006D06E6" w14:paraId="4393568A" w14:textId="77777777" w:rsidTr="000D3480">
        <w:tc>
          <w:tcPr>
            <w:tcW w:w="1900" w:type="dxa"/>
            <w:tcMar>
              <w:top w:w="55" w:type="dxa"/>
              <w:left w:w="70" w:type="dxa"/>
              <w:bottom w:w="55" w:type="dxa"/>
              <w:right w:w="70" w:type="dxa"/>
            </w:tcMar>
            <w:vAlign w:val="center"/>
          </w:tcPr>
          <w:p w14:paraId="6BD66124" w14:textId="77777777" w:rsidR="00585AEE" w:rsidRPr="006D06E6" w:rsidRDefault="00585AEE" w:rsidP="00474FA7">
            <w:pPr>
              <w:rPr>
                <w:rFonts w:eastAsia="Times New Roman" w:cs="Times New Roman"/>
                <w:sz w:val="24"/>
                <w:szCs w:val="24"/>
              </w:rPr>
            </w:pPr>
            <w:r w:rsidRPr="006D06E6">
              <w:rPr>
                <w:rFonts w:eastAsia="Times New Roman"/>
                <w:sz w:val="24"/>
              </w:rPr>
              <w:lastRenderedPageBreak/>
              <w:t>Điều 2. Điều kiện, tư cách của trung tâm ươm tạo</w:t>
            </w:r>
          </w:p>
        </w:tc>
        <w:tc>
          <w:tcPr>
            <w:tcW w:w="1644" w:type="dxa"/>
            <w:tcMar>
              <w:top w:w="55" w:type="dxa"/>
              <w:left w:w="70" w:type="dxa"/>
              <w:bottom w:w="55" w:type="dxa"/>
              <w:right w:w="70" w:type="dxa"/>
            </w:tcMar>
            <w:vAlign w:val="center"/>
          </w:tcPr>
          <w:p w14:paraId="1A59988B" w14:textId="77777777" w:rsidR="005666A1" w:rsidRPr="006D06E6" w:rsidRDefault="005666A1" w:rsidP="005666A1">
            <w:pPr>
              <w:jc w:val="center"/>
              <w:rPr>
                <w:rFonts w:cs="Times New Roman"/>
                <w:sz w:val="24"/>
                <w:szCs w:val="24"/>
              </w:rPr>
            </w:pPr>
            <w:r w:rsidRPr="006D06E6">
              <w:rPr>
                <w:rFonts w:eastAsia="Times New Roman"/>
                <w:sz w:val="24"/>
              </w:rPr>
              <w:br/>
              <w:t>Đỗ Xuân Hồng</w:t>
            </w:r>
            <w:r w:rsidRPr="006D06E6">
              <w:rPr>
                <w:rFonts w:eastAsia="Times New Roman"/>
                <w:sz w:val="24"/>
              </w:rPr>
              <w:br/>
            </w:r>
          </w:p>
        </w:tc>
        <w:tc>
          <w:tcPr>
            <w:tcW w:w="5812" w:type="dxa"/>
            <w:tcMar>
              <w:top w:w="55" w:type="dxa"/>
              <w:left w:w="70" w:type="dxa"/>
              <w:bottom w:w="55" w:type="dxa"/>
              <w:right w:w="70" w:type="dxa"/>
            </w:tcMar>
            <w:vAlign w:val="center"/>
          </w:tcPr>
          <w:p w14:paraId="7A3DC6B6" w14:textId="77777777" w:rsidR="005666A1" w:rsidRPr="006D06E6" w:rsidRDefault="005666A1" w:rsidP="005666A1">
            <w:pPr>
              <w:tabs>
                <w:tab w:val="left" w:pos="2074"/>
              </w:tabs>
              <w:jc w:val="both"/>
              <w:rPr>
                <w:rFonts w:cs="Times New Roman"/>
                <w:sz w:val="24"/>
                <w:szCs w:val="24"/>
              </w:rPr>
            </w:pPr>
            <w:r w:rsidRPr="006D06E6">
              <w:rPr>
                <w:rFonts w:eastAsia="Times New Roman"/>
                <w:sz w:val="24"/>
              </w:rPr>
              <w:t>Làm rõ yêu cầu “được công nhận” đối với trung tâm ươm tạo; đề nghị có quy định hoặc định nghĩa tại Điều 2 hoặc Điều 3 để làm cơ sở áp dụng thống nhất.</w:t>
            </w:r>
          </w:p>
        </w:tc>
        <w:tc>
          <w:tcPr>
            <w:tcW w:w="5953" w:type="dxa"/>
            <w:tcMar>
              <w:top w:w="55" w:type="dxa"/>
              <w:left w:w="70" w:type="dxa"/>
              <w:bottom w:w="55" w:type="dxa"/>
              <w:right w:w="70" w:type="dxa"/>
            </w:tcMar>
            <w:vAlign w:val="center"/>
          </w:tcPr>
          <w:p w14:paraId="2EFD397E" w14:textId="77777777" w:rsidR="00585AEE" w:rsidRPr="006D06E6" w:rsidRDefault="00585AEE" w:rsidP="00474FA7">
            <w:pPr>
              <w:jc w:val="both"/>
              <w:rPr>
                <w:rFonts w:cs="Times New Roman"/>
                <w:sz w:val="24"/>
                <w:szCs w:val="24"/>
              </w:rPr>
            </w:pPr>
            <w:r w:rsidRPr="006D06E6">
              <w:rPr>
                <w:rFonts w:eastAsia="Times New Roman"/>
                <w:sz w:val="24"/>
              </w:rPr>
              <w:t>Tiếp thu. Yêu cầu trung tâm ươm tạo phải được công nhận, có tư cách pháp nhân và hoạt động trên địa bàn Thành phố đã được quy định tại khoản 2 Điều 2 để làm cơ sở áp dụng thống nhất trong toàn Nghị quyết.</w:t>
            </w:r>
          </w:p>
        </w:tc>
      </w:tr>
      <w:tr w:rsidR="006D06E6" w:rsidRPr="006D06E6" w14:paraId="30418EEA" w14:textId="77777777" w:rsidTr="000D3480">
        <w:tc>
          <w:tcPr>
            <w:tcW w:w="1900" w:type="dxa"/>
            <w:tcMar>
              <w:top w:w="55" w:type="dxa"/>
              <w:left w:w="70" w:type="dxa"/>
              <w:bottom w:w="55" w:type="dxa"/>
              <w:right w:w="70" w:type="dxa"/>
            </w:tcMar>
            <w:vAlign w:val="center"/>
          </w:tcPr>
          <w:p w14:paraId="066BB5B7" w14:textId="77777777" w:rsidR="00585AEE" w:rsidRPr="006D06E6" w:rsidRDefault="00585AEE" w:rsidP="00474FA7">
            <w:pPr>
              <w:rPr>
                <w:rFonts w:eastAsia="Times New Roman" w:cs="Times New Roman"/>
                <w:sz w:val="24"/>
                <w:szCs w:val="24"/>
              </w:rPr>
            </w:pPr>
            <w:r w:rsidRPr="006D06E6">
              <w:rPr>
                <w:rFonts w:eastAsia="Times New Roman"/>
                <w:sz w:val="24"/>
              </w:rPr>
              <w:t>Điều 7, Điều 8. Chi phí tổ chức tuyển chọn dự án</w:t>
            </w:r>
          </w:p>
        </w:tc>
        <w:tc>
          <w:tcPr>
            <w:tcW w:w="1644" w:type="dxa"/>
            <w:tcMar>
              <w:top w:w="55" w:type="dxa"/>
              <w:left w:w="70" w:type="dxa"/>
              <w:bottom w:w="55" w:type="dxa"/>
              <w:right w:w="70" w:type="dxa"/>
            </w:tcMar>
            <w:vAlign w:val="center"/>
          </w:tcPr>
          <w:p w14:paraId="6D26EF31" w14:textId="77777777" w:rsidR="005666A1" w:rsidRPr="006D06E6" w:rsidRDefault="005666A1" w:rsidP="005666A1">
            <w:pPr>
              <w:jc w:val="center"/>
              <w:rPr>
                <w:rFonts w:cs="Times New Roman"/>
                <w:sz w:val="24"/>
                <w:szCs w:val="24"/>
              </w:rPr>
            </w:pPr>
          </w:p>
        </w:tc>
        <w:tc>
          <w:tcPr>
            <w:tcW w:w="5812" w:type="dxa"/>
            <w:tcMar>
              <w:top w:w="55" w:type="dxa"/>
              <w:left w:w="70" w:type="dxa"/>
              <w:bottom w:w="55" w:type="dxa"/>
              <w:right w:w="70" w:type="dxa"/>
            </w:tcMar>
            <w:vAlign w:val="center"/>
          </w:tcPr>
          <w:p w14:paraId="09B3101C" w14:textId="77777777" w:rsidR="005666A1" w:rsidRPr="006D06E6" w:rsidRDefault="005666A1" w:rsidP="005666A1">
            <w:pPr>
              <w:tabs>
                <w:tab w:val="left" w:pos="2074"/>
              </w:tabs>
              <w:jc w:val="both"/>
              <w:rPr>
                <w:rFonts w:cs="Times New Roman"/>
                <w:sz w:val="24"/>
                <w:szCs w:val="24"/>
              </w:rPr>
            </w:pPr>
            <w:r w:rsidRPr="006D06E6">
              <w:rPr>
                <w:rFonts w:eastAsia="Times New Roman"/>
                <w:sz w:val="24"/>
              </w:rPr>
              <w:t>Làm rõ tính hợp lệ của “chi phí tổ chức tuyển chọn dự án” do phát sinh trước khi nhiệm vụ được phê duyệt; đề nghị làm rõ trong Nghị quyết, Tờ trình hoặc hướng dẫn tài chính để tránh vướng mắc khi quyết toán.</w:t>
            </w:r>
          </w:p>
        </w:tc>
        <w:tc>
          <w:tcPr>
            <w:tcW w:w="5953" w:type="dxa"/>
            <w:tcMar>
              <w:top w:w="55" w:type="dxa"/>
              <w:left w:w="70" w:type="dxa"/>
              <w:bottom w:w="55" w:type="dxa"/>
              <w:right w:w="70" w:type="dxa"/>
            </w:tcMar>
            <w:vAlign w:val="center"/>
          </w:tcPr>
          <w:p w14:paraId="357DA577" w14:textId="77777777" w:rsidR="00585AEE" w:rsidRPr="006D06E6" w:rsidRDefault="00585AEE" w:rsidP="00474FA7">
            <w:pPr>
              <w:jc w:val="both"/>
              <w:rPr>
                <w:rFonts w:cs="Times New Roman"/>
                <w:sz w:val="24"/>
                <w:szCs w:val="24"/>
              </w:rPr>
            </w:pPr>
            <w:r w:rsidRPr="006D06E6">
              <w:rPr>
                <w:rFonts w:eastAsia="Times New Roman"/>
                <w:sz w:val="24"/>
              </w:rPr>
              <w:t>Giải trình. Chi phí tổ chức tuyển chọn dự án là nhóm chi phí được điểm h khoản 2 Điều 30 Luật Phát triển đô thị cho phép hỗ trợ. Dự thảo xác định hoạt động tuyển chọn được trung tâm ươm tạo thực hiện trước khi đăng ký nhiệm vụ; việc tổng hợp khoản chi này vào dự toán, thẩm định, thanh toán và quyết toán phải thực hiện theo hồ sơ nhiệm vụ được phê duyệt và quy định tài chính có liên quan, không được hiểu là đương nhiên hoàn trả mọi chi phí đã phát sinh trước khi nhiệm vụ được phê duyệt.</w:t>
            </w:r>
          </w:p>
        </w:tc>
      </w:tr>
      <w:tr w:rsidR="006D06E6" w:rsidRPr="006D06E6" w14:paraId="566C8418" w14:textId="77777777" w:rsidTr="000D3480">
        <w:tc>
          <w:tcPr>
            <w:tcW w:w="1900" w:type="dxa"/>
            <w:tcMar>
              <w:top w:w="55" w:type="dxa"/>
              <w:left w:w="70" w:type="dxa"/>
              <w:bottom w:w="55" w:type="dxa"/>
              <w:right w:w="70" w:type="dxa"/>
            </w:tcMar>
            <w:vAlign w:val="center"/>
          </w:tcPr>
          <w:p w14:paraId="5E1461D3" w14:textId="77777777" w:rsidR="00585AEE" w:rsidRPr="006D06E6" w:rsidRDefault="00585AEE" w:rsidP="00474FA7">
            <w:pPr>
              <w:rPr>
                <w:rFonts w:eastAsia="Times New Roman" w:cs="Times New Roman"/>
                <w:sz w:val="24"/>
                <w:szCs w:val="24"/>
              </w:rPr>
            </w:pPr>
            <w:r w:rsidRPr="006D06E6">
              <w:rPr>
                <w:rFonts w:eastAsia="Times New Roman"/>
                <w:sz w:val="24"/>
              </w:rPr>
              <w:t>Điều 8. Xử lý dự án rút lui hoặc không còn đủ điều kiện</w:t>
            </w:r>
          </w:p>
        </w:tc>
        <w:tc>
          <w:tcPr>
            <w:tcW w:w="1644" w:type="dxa"/>
            <w:tcMar>
              <w:top w:w="55" w:type="dxa"/>
              <w:left w:w="70" w:type="dxa"/>
              <w:bottom w:w="55" w:type="dxa"/>
              <w:right w:w="70" w:type="dxa"/>
            </w:tcMar>
            <w:vAlign w:val="center"/>
          </w:tcPr>
          <w:p w14:paraId="4EF9CC0B" w14:textId="77777777" w:rsidR="005666A1" w:rsidRPr="006D06E6" w:rsidRDefault="005666A1" w:rsidP="005666A1">
            <w:pPr>
              <w:jc w:val="center"/>
              <w:rPr>
                <w:rFonts w:cs="Times New Roman"/>
                <w:sz w:val="24"/>
                <w:szCs w:val="24"/>
              </w:rPr>
            </w:pPr>
          </w:p>
        </w:tc>
        <w:tc>
          <w:tcPr>
            <w:tcW w:w="5812" w:type="dxa"/>
            <w:tcMar>
              <w:top w:w="55" w:type="dxa"/>
              <w:left w:w="70" w:type="dxa"/>
              <w:bottom w:w="55" w:type="dxa"/>
              <w:right w:w="70" w:type="dxa"/>
            </w:tcMar>
            <w:vAlign w:val="center"/>
          </w:tcPr>
          <w:p w14:paraId="6015AD84" w14:textId="77777777" w:rsidR="005666A1" w:rsidRPr="006D06E6" w:rsidRDefault="005666A1" w:rsidP="005666A1">
            <w:pPr>
              <w:tabs>
                <w:tab w:val="left" w:pos="2074"/>
              </w:tabs>
              <w:jc w:val="both"/>
              <w:rPr>
                <w:rFonts w:cs="Times New Roman"/>
                <w:sz w:val="24"/>
                <w:szCs w:val="24"/>
              </w:rPr>
            </w:pPr>
            <w:r w:rsidRPr="006D06E6">
              <w:rPr>
                <w:rFonts w:eastAsia="Times New Roman"/>
                <w:sz w:val="24"/>
              </w:rPr>
              <w:t>Đề nghị bổ sung cơ chế xử lý khi một dự án rút lui, giải thể, không còn đáp ứng điều kiện, không tiếp tục thực hiện hoặc bị phát hiện kê khai không chính xác sau khi nhiệm vụ đã được phê duyệt; làm rõ việc thu hồi, cắt giảm hoặc hoàn trả phần kinh phí của dự án.</w:t>
            </w:r>
          </w:p>
        </w:tc>
        <w:tc>
          <w:tcPr>
            <w:tcW w:w="5953" w:type="dxa"/>
            <w:tcMar>
              <w:top w:w="55" w:type="dxa"/>
              <w:left w:w="70" w:type="dxa"/>
              <w:bottom w:w="55" w:type="dxa"/>
              <w:right w:w="70" w:type="dxa"/>
            </w:tcMar>
            <w:vAlign w:val="center"/>
          </w:tcPr>
          <w:p w14:paraId="3AAE93E5" w14:textId="77777777" w:rsidR="00585AEE" w:rsidRPr="006D06E6" w:rsidRDefault="00585AEE" w:rsidP="00474FA7">
            <w:pPr>
              <w:jc w:val="both"/>
              <w:rPr>
                <w:rFonts w:cs="Times New Roman"/>
                <w:sz w:val="24"/>
                <w:szCs w:val="24"/>
              </w:rPr>
            </w:pPr>
            <w:r w:rsidRPr="006D06E6">
              <w:rPr>
                <w:rFonts w:eastAsia="Times New Roman"/>
                <w:sz w:val="24"/>
              </w:rPr>
              <w:t>Giải trình. Trường hợp dự án rút lui, chấm dứt hoạt động, không còn đủ điều kiện hoặc có thông tin kê khai không chính xác được xử lý thông qua cơ chế điều chỉnh, chấm dứt hợp đồng, kiểm tra, thu hồi và quyết toán nhiệm vụ theo Nghị định số 268/2025/NĐ-CP, quy định quản lý nhiệm vụ của Thành phố và hợp đồng thực hiện nhiệm vụ; không thiết kế thêm một thủ tục riêng tại Nghị quyết.</w:t>
            </w:r>
          </w:p>
        </w:tc>
      </w:tr>
      <w:tr w:rsidR="006D06E6" w:rsidRPr="006D06E6" w14:paraId="4A4069D0" w14:textId="77777777" w:rsidTr="000D3480">
        <w:tc>
          <w:tcPr>
            <w:tcW w:w="1900" w:type="dxa"/>
            <w:tcMar>
              <w:top w:w="55" w:type="dxa"/>
              <w:left w:w="70" w:type="dxa"/>
              <w:bottom w:w="55" w:type="dxa"/>
              <w:right w:w="70" w:type="dxa"/>
            </w:tcMar>
            <w:vAlign w:val="center"/>
          </w:tcPr>
          <w:p w14:paraId="1C1466A3" w14:textId="77777777" w:rsidR="005666A1" w:rsidRPr="006D06E6" w:rsidRDefault="005666A1" w:rsidP="00474FA7">
            <w:pPr>
              <w:rPr>
                <w:rFonts w:eastAsia="Times New Roman" w:cs="Times New Roman"/>
                <w:sz w:val="24"/>
                <w:szCs w:val="24"/>
              </w:rPr>
            </w:pPr>
            <w:r w:rsidRPr="006D06E6">
              <w:rPr>
                <w:rFonts w:eastAsia="Times New Roman"/>
                <w:sz w:val="24"/>
              </w:rPr>
              <w:lastRenderedPageBreak/>
              <w:t>Điều 5. Tiêu chí về khả năng ứng dụng và tác động</w:t>
            </w:r>
          </w:p>
        </w:tc>
        <w:tc>
          <w:tcPr>
            <w:tcW w:w="1644" w:type="dxa"/>
            <w:tcMar>
              <w:top w:w="55" w:type="dxa"/>
              <w:left w:w="70" w:type="dxa"/>
              <w:bottom w:w="55" w:type="dxa"/>
              <w:right w:w="70" w:type="dxa"/>
            </w:tcMar>
            <w:vAlign w:val="center"/>
          </w:tcPr>
          <w:p w14:paraId="55B22D7E" w14:textId="77777777" w:rsidR="005666A1" w:rsidRPr="006D06E6" w:rsidRDefault="007D1803" w:rsidP="00474FA7">
            <w:pPr>
              <w:jc w:val="center"/>
              <w:rPr>
                <w:rFonts w:cs="Times New Roman"/>
                <w:sz w:val="24"/>
                <w:szCs w:val="24"/>
              </w:rPr>
            </w:pPr>
            <w:r w:rsidRPr="006D06E6">
              <w:rPr>
                <w:rFonts w:eastAsia="Times New Roman"/>
                <w:sz w:val="24"/>
              </w:rPr>
              <w:t>Viện Đổi mới sáng tạo</w:t>
            </w:r>
          </w:p>
        </w:tc>
        <w:tc>
          <w:tcPr>
            <w:tcW w:w="5812" w:type="dxa"/>
            <w:tcMar>
              <w:top w:w="55" w:type="dxa"/>
              <w:left w:w="70" w:type="dxa"/>
              <w:bottom w:w="55" w:type="dxa"/>
              <w:right w:w="70" w:type="dxa"/>
            </w:tcMar>
            <w:vAlign w:val="center"/>
          </w:tcPr>
          <w:p w14:paraId="2F88100B" w14:textId="77777777" w:rsidR="007D1803" w:rsidRPr="006D06E6" w:rsidRDefault="007D1803" w:rsidP="007D1803">
            <w:pPr>
              <w:tabs>
                <w:tab w:val="left" w:pos="4781"/>
              </w:tabs>
              <w:jc w:val="both"/>
              <w:rPr>
                <w:rFonts w:cs="Times New Roman"/>
                <w:sz w:val="24"/>
                <w:szCs w:val="24"/>
              </w:rPr>
            </w:pPr>
            <w:r w:rsidRPr="006D06E6">
              <w:rPr>
                <w:rFonts w:eastAsia="Times New Roman"/>
                <w:sz w:val="24"/>
              </w:rPr>
              <w:t>Đề nghị điều chỉnh tiêu chí về khả năng ứng dụng trực tiếp, hiệu quả kinh tế hoặc tác động xã hội để phù hợp dự án khởi nghiệp sáng tạo còn ở giai đoạn thử nghiệm, hoàn thiện sản phẩm hoặc kiểm chứng thị trường; không yêu cầu chứng minh ngay hiệu quả kinh tế hoặc tác động xã hội ở quy mô lớn.</w:t>
            </w:r>
          </w:p>
        </w:tc>
        <w:tc>
          <w:tcPr>
            <w:tcW w:w="5953" w:type="dxa"/>
            <w:tcMar>
              <w:top w:w="55" w:type="dxa"/>
              <w:left w:w="70" w:type="dxa"/>
              <w:bottom w:w="55" w:type="dxa"/>
              <w:right w:w="70" w:type="dxa"/>
            </w:tcMar>
            <w:vAlign w:val="center"/>
          </w:tcPr>
          <w:p w14:paraId="11DC4499" w14:textId="77777777" w:rsidR="005666A1" w:rsidRPr="006D06E6" w:rsidRDefault="005666A1" w:rsidP="00474FA7">
            <w:pPr>
              <w:jc w:val="both"/>
              <w:rPr>
                <w:rFonts w:cs="Times New Roman"/>
                <w:sz w:val="24"/>
                <w:szCs w:val="24"/>
              </w:rPr>
            </w:pPr>
            <w:r w:rsidRPr="006D06E6">
              <w:rPr>
                <w:rFonts w:eastAsia="Times New Roman"/>
                <w:sz w:val="24"/>
              </w:rPr>
              <w:t>Tiếp thu một phần. Tiêu chí tại điểm c khoản 1 Điều 5 được áp dụng theo hướng đánh giá khả năng ứng dụng và tác động dự kiến của dự án, không yêu cầu dự án ở giai đoạn sớm phải chứng minh ngay hiệu quả kinh tế hoặc tác động xã hội ở quy mô lớn. Kết quả đầu ra tối thiểu được quy định riêng theo từng giai đoạn để phù hợp mức độ trưởng thành của dự án.</w:t>
            </w:r>
          </w:p>
        </w:tc>
      </w:tr>
      <w:tr w:rsidR="006D06E6" w:rsidRPr="006D06E6" w14:paraId="4F3A1CFA" w14:textId="77777777" w:rsidTr="000D3480">
        <w:tc>
          <w:tcPr>
            <w:tcW w:w="1900" w:type="dxa"/>
            <w:tcMar>
              <w:top w:w="55" w:type="dxa"/>
              <w:left w:w="70" w:type="dxa"/>
              <w:bottom w:w="55" w:type="dxa"/>
              <w:right w:w="70" w:type="dxa"/>
            </w:tcMar>
            <w:vAlign w:val="center"/>
          </w:tcPr>
          <w:p w14:paraId="24282E4D" w14:textId="77777777" w:rsidR="005666A1" w:rsidRPr="006D06E6" w:rsidRDefault="005666A1" w:rsidP="00474FA7">
            <w:pPr>
              <w:rPr>
                <w:rFonts w:eastAsia="Times New Roman" w:cs="Times New Roman"/>
                <w:sz w:val="24"/>
                <w:szCs w:val="24"/>
              </w:rPr>
            </w:pPr>
            <w:r w:rsidRPr="006D06E6">
              <w:rPr>
                <w:rFonts w:eastAsia="Times New Roman"/>
                <w:sz w:val="24"/>
              </w:rPr>
              <w:t>Điều 5. Tiêu chí về tính khả thi</w:t>
            </w:r>
          </w:p>
        </w:tc>
        <w:tc>
          <w:tcPr>
            <w:tcW w:w="1644" w:type="dxa"/>
            <w:tcMar>
              <w:top w:w="55" w:type="dxa"/>
              <w:left w:w="70" w:type="dxa"/>
              <w:bottom w:w="55" w:type="dxa"/>
              <w:right w:w="70" w:type="dxa"/>
            </w:tcMar>
            <w:vAlign w:val="center"/>
          </w:tcPr>
          <w:p w14:paraId="3484FC5E" w14:textId="77777777" w:rsidR="005666A1" w:rsidRPr="006D06E6" w:rsidRDefault="005666A1" w:rsidP="00474FA7">
            <w:pPr>
              <w:jc w:val="center"/>
              <w:rPr>
                <w:rFonts w:cs="Times New Roman"/>
                <w:sz w:val="24"/>
                <w:szCs w:val="24"/>
              </w:rPr>
            </w:pPr>
          </w:p>
        </w:tc>
        <w:tc>
          <w:tcPr>
            <w:tcW w:w="5812" w:type="dxa"/>
            <w:tcMar>
              <w:top w:w="55" w:type="dxa"/>
              <w:left w:w="70" w:type="dxa"/>
              <w:bottom w:w="55" w:type="dxa"/>
              <w:right w:w="70" w:type="dxa"/>
            </w:tcMar>
            <w:vAlign w:val="center"/>
          </w:tcPr>
          <w:p w14:paraId="6CD2650F" w14:textId="77777777" w:rsidR="007D1803" w:rsidRPr="006D06E6" w:rsidRDefault="007D1803" w:rsidP="007D1803">
            <w:pPr>
              <w:tabs>
                <w:tab w:val="left" w:pos="4781"/>
              </w:tabs>
              <w:jc w:val="both"/>
              <w:rPr>
                <w:rFonts w:cs="Times New Roman"/>
                <w:sz w:val="24"/>
                <w:szCs w:val="24"/>
              </w:rPr>
            </w:pPr>
            <w:r w:rsidRPr="006D06E6">
              <w:rPr>
                <w:rFonts w:eastAsia="Times New Roman"/>
                <w:sz w:val="24"/>
              </w:rPr>
              <w:t>Đề nghị làm rõ hơn tiêu chí về tính khả thi kinh tế, công nghệ và lộ trình phát triển của dự án.</w:t>
            </w:r>
          </w:p>
        </w:tc>
        <w:tc>
          <w:tcPr>
            <w:tcW w:w="5953" w:type="dxa"/>
            <w:tcMar>
              <w:top w:w="55" w:type="dxa"/>
              <w:left w:w="70" w:type="dxa"/>
              <w:bottom w:w="55" w:type="dxa"/>
              <w:right w:w="70" w:type="dxa"/>
            </w:tcMar>
            <w:vAlign w:val="center"/>
          </w:tcPr>
          <w:p w14:paraId="5E7BD227" w14:textId="77777777" w:rsidR="005666A1" w:rsidRPr="006D06E6" w:rsidRDefault="005666A1" w:rsidP="00474FA7">
            <w:pPr>
              <w:jc w:val="both"/>
              <w:rPr>
                <w:rFonts w:cs="Times New Roman"/>
                <w:sz w:val="24"/>
                <w:szCs w:val="24"/>
              </w:rPr>
            </w:pPr>
            <w:r w:rsidRPr="006D06E6">
              <w:rPr>
                <w:rFonts w:eastAsia="Times New Roman"/>
                <w:sz w:val="24"/>
              </w:rPr>
              <w:t>Tiếp thu một phần. Tiêu chí tính khả thi đã bao gồm mục tiêu, nội dung, phương pháp, kế hoạch tổ chức thực hiện, thời gian và tổng mức kinh phí; việc đánh giá cụ thể căn cứ hồ sơ, mức độ hoàn thiện sản phẩm hoặc giải pháp, kế hoạch thử nghiệm, phản hồi thị trường và lộ trình phát triển tương ứng với từng giai đoạn.</w:t>
            </w:r>
          </w:p>
        </w:tc>
      </w:tr>
      <w:tr w:rsidR="006D06E6" w:rsidRPr="006D06E6" w14:paraId="063AB9B2" w14:textId="77777777" w:rsidTr="000D3480">
        <w:tc>
          <w:tcPr>
            <w:tcW w:w="1900" w:type="dxa"/>
            <w:tcMar>
              <w:top w:w="55" w:type="dxa"/>
              <w:left w:w="70" w:type="dxa"/>
              <w:bottom w:w="55" w:type="dxa"/>
              <w:right w:w="70" w:type="dxa"/>
            </w:tcMar>
            <w:vAlign w:val="center"/>
          </w:tcPr>
          <w:p w14:paraId="03767180" w14:textId="77777777" w:rsidR="005666A1" w:rsidRPr="006D06E6" w:rsidRDefault="005666A1" w:rsidP="00474FA7">
            <w:pPr>
              <w:rPr>
                <w:rFonts w:eastAsia="Times New Roman" w:cs="Times New Roman"/>
                <w:sz w:val="24"/>
                <w:szCs w:val="24"/>
              </w:rPr>
            </w:pPr>
            <w:r w:rsidRPr="006D06E6">
              <w:rPr>
                <w:rFonts w:eastAsia="Times New Roman"/>
                <w:sz w:val="24"/>
              </w:rPr>
              <w:t>Điều 2, Điều 6. Điều kiện đối với trung tâm ươm tạo</w:t>
            </w:r>
          </w:p>
        </w:tc>
        <w:tc>
          <w:tcPr>
            <w:tcW w:w="1644" w:type="dxa"/>
            <w:tcMar>
              <w:top w:w="55" w:type="dxa"/>
              <w:left w:w="70" w:type="dxa"/>
              <w:bottom w:w="55" w:type="dxa"/>
              <w:right w:w="70" w:type="dxa"/>
            </w:tcMar>
            <w:vAlign w:val="center"/>
          </w:tcPr>
          <w:p w14:paraId="71ECE455" w14:textId="77777777" w:rsidR="005666A1" w:rsidRPr="006D06E6" w:rsidRDefault="005666A1" w:rsidP="00474FA7">
            <w:pPr>
              <w:jc w:val="center"/>
              <w:rPr>
                <w:rFonts w:cs="Times New Roman"/>
                <w:sz w:val="24"/>
                <w:szCs w:val="24"/>
              </w:rPr>
            </w:pPr>
          </w:p>
        </w:tc>
        <w:tc>
          <w:tcPr>
            <w:tcW w:w="5812" w:type="dxa"/>
            <w:tcMar>
              <w:top w:w="55" w:type="dxa"/>
              <w:left w:w="70" w:type="dxa"/>
              <w:bottom w:w="55" w:type="dxa"/>
              <w:right w:w="70" w:type="dxa"/>
            </w:tcMar>
            <w:vAlign w:val="center"/>
          </w:tcPr>
          <w:p w14:paraId="280090DC" w14:textId="77777777" w:rsidR="007D1803" w:rsidRPr="006D06E6" w:rsidRDefault="007D1803" w:rsidP="007D1803">
            <w:pPr>
              <w:tabs>
                <w:tab w:val="left" w:pos="4781"/>
              </w:tabs>
              <w:jc w:val="both"/>
              <w:rPr>
                <w:rFonts w:cs="Times New Roman"/>
                <w:sz w:val="24"/>
                <w:szCs w:val="24"/>
              </w:rPr>
            </w:pPr>
            <w:r w:rsidRPr="006D06E6">
              <w:rPr>
                <w:rFonts w:eastAsia="Times New Roman"/>
                <w:sz w:val="24"/>
              </w:rPr>
              <w:t>Đề nghị làm rõ việc ưu tiên hoặc điều kiện đối với trung tâm được công nhận theo quy định và yêu cầu về trụ sở, văn phòng tại Thành phố Hồ Chí Minh.</w:t>
            </w:r>
          </w:p>
        </w:tc>
        <w:tc>
          <w:tcPr>
            <w:tcW w:w="5953" w:type="dxa"/>
            <w:tcMar>
              <w:top w:w="55" w:type="dxa"/>
              <w:left w:w="70" w:type="dxa"/>
              <w:bottom w:w="55" w:type="dxa"/>
              <w:right w:w="70" w:type="dxa"/>
            </w:tcMar>
            <w:vAlign w:val="center"/>
          </w:tcPr>
          <w:p w14:paraId="38C204B1" w14:textId="77777777" w:rsidR="005666A1" w:rsidRPr="006D06E6" w:rsidRDefault="005666A1" w:rsidP="00474FA7">
            <w:pPr>
              <w:jc w:val="both"/>
              <w:rPr>
                <w:rFonts w:cs="Times New Roman"/>
                <w:sz w:val="24"/>
                <w:szCs w:val="24"/>
              </w:rPr>
            </w:pPr>
            <w:r w:rsidRPr="006D06E6">
              <w:rPr>
                <w:rFonts w:eastAsia="Times New Roman"/>
                <w:sz w:val="24"/>
              </w:rPr>
              <w:t>Tiếp thu về điều kiện. Dự thảo quy định trung tâm ươm tạo phải được công nhận theo Luật Khoa học, công nghệ và đổi mới sáng tạo, có tư cách pháp nhân và hoạt động trên địa bàn Thành phố. Dự thảo không thiết kế cơ chế ưu tiên riêng giữa các trung tâm cùng đáp ứng điều kiện; việc đánh giá căn cứ tiêu chí năng lực quy định tại Điều 5.</w:t>
            </w:r>
          </w:p>
        </w:tc>
      </w:tr>
      <w:tr w:rsidR="006D06E6" w:rsidRPr="006D06E6" w14:paraId="5512885C" w14:textId="77777777" w:rsidTr="000D3480">
        <w:tc>
          <w:tcPr>
            <w:tcW w:w="1900" w:type="dxa"/>
            <w:tcMar>
              <w:top w:w="55" w:type="dxa"/>
              <w:left w:w="70" w:type="dxa"/>
              <w:bottom w:w="55" w:type="dxa"/>
              <w:right w:w="70" w:type="dxa"/>
            </w:tcMar>
            <w:vAlign w:val="center"/>
          </w:tcPr>
          <w:p w14:paraId="15F28868" w14:textId="77777777" w:rsidR="005666A1" w:rsidRPr="006D06E6" w:rsidRDefault="005666A1" w:rsidP="00474FA7">
            <w:pPr>
              <w:rPr>
                <w:rFonts w:eastAsia="Times New Roman" w:cs="Times New Roman"/>
                <w:sz w:val="24"/>
                <w:szCs w:val="24"/>
              </w:rPr>
            </w:pPr>
            <w:r w:rsidRPr="006D06E6">
              <w:rPr>
                <w:rFonts w:eastAsia="Times New Roman"/>
                <w:sz w:val="24"/>
              </w:rPr>
              <w:t>Điều 8. Thời hạn xử lý hồ sơ và thực hiện thủ tục</w:t>
            </w:r>
          </w:p>
        </w:tc>
        <w:tc>
          <w:tcPr>
            <w:tcW w:w="1644" w:type="dxa"/>
            <w:tcMar>
              <w:top w:w="55" w:type="dxa"/>
              <w:left w:w="70" w:type="dxa"/>
              <w:bottom w:w="55" w:type="dxa"/>
              <w:right w:w="70" w:type="dxa"/>
            </w:tcMar>
            <w:vAlign w:val="center"/>
          </w:tcPr>
          <w:p w14:paraId="1467ADBD" w14:textId="77777777" w:rsidR="005666A1" w:rsidRPr="006D06E6" w:rsidRDefault="005666A1" w:rsidP="00474FA7">
            <w:pPr>
              <w:jc w:val="center"/>
              <w:rPr>
                <w:rFonts w:cs="Times New Roman"/>
                <w:sz w:val="24"/>
                <w:szCs w:val="24"/>
              </w:rPr>
            </w:pPr>
          </w:p>
        </w:tc>
        <w:tc>
          <w:tcPr>
            <w:tcW w:w="5812" w:type="dxa"/>
            <w:tcMar>
              <w:top w:w="55" w:type="dxa"/>
              <w:left w:w="70" w:type="dxa"/>
              <w:bottom w:w="55" w:type="dxa"/>
              <w:right w:w="70" w:type="dxa"/>
            </w:tcMar>
            <w:vAlign w:val="center"/>
          </w:tcPr>
          <w:p w14:paraId="6880E8B9" w14:textId="77777777" w:rsidR="007D1803" w:rsidRPr="006D06E6" w:rsidRDefault="007D1803" w:rsidP="007D1803">
            <w:pPr>
              <w:tabs>
                <w:tab w:val="left" w:pos="4781"/>
              </w:tabs>
              <w:jc w:val="both"/>
              <w:rPr>
                <w:rFonts w:cs="Times New Roman"/>
                <w:sz w:val="24"/>
                <w:szCs w:val="24"/>
              </w:rPr>
            </w:pPr>
            <w:r w:rsidRPr="006D06E6">
              <w:rPr>
                <w:rFonts w:eastAsia="Times New Roman"/>
                <w:sz w:val="24"/>
              </w:rPr>
              <w:t>Đề nghị quy định rõ thời hạn xử lý đối với các bước trong quy trình, đặc biệt là thẩm định hồ sơ, ký kết hợp đồng và giải ngân, nhằm bảo đảm tính kịp thời, phù hợp với đặc thù dự án khởi nghiệp sáng tạo chịu tác động nhanh của thị trường.</w:t>
            </w:r>
          </w:p>
        </w:tc>
        <w:tc>
          <w:tcPr>
            <w:tcW w:w="5953" w:type="dxa"/>
            <w:tcMar>
              <w:top w:w="55" w:type="dxa"/>
              <w:left w:w="70" w:type="dxa"/>
              <w:bottom w:w="55" w:type="dxa"/>
              <w:right w:w="70" w:type="dxa"/>
            </w:tcMar>
            <w:vAlign w:val="center"/>
          </w:tcPr>
          <w:p w14:paraId="346D02D6" w14:textId="77777777" w:rsidR="005666A1" w:rsidRPr="006D06E6" w:rsidRDefault="005666A1" w:rsidP="00474FA7">
            <w:pPr>
              <w:jc w:val="both"/>
              <w:rPr>
                <w:rFonts w:cs="Times New Roman"/>
                <w:sz w:val="24"/>
                <w:szCs w:val="24"/>
              </w:rPr>
            </w:pPr>
            <w:r w:rsidRPr="006D06E6">
              <w:rPr>
                <w:rFonts w:eastAsia="Times New Roman"/>
                <w:sz w:val="24"/>
              </w:rPr>
              <w:t>Không bổ sung thời hạn xử lý riêng trong Nghị quyết. Thời hạn tiếp nhận, xét duyệt, thẩm định, phê duyệt, ký hợp đồng, cấp kinh phí và các bước quản lý nhiệm vụ tiếp tục thực hiện theo Nghị định số 268/2025/NĐ-CP, thủ tục hành chính và quy trình của Thành phố. Việc quy định lại thời hạn trong Nghị quyết có thể dẫn đến trùng lặp hoặc không thống nhất khi quy định chuyên ngành được sửa đổi.</w:t>
            </w:r>
          </w:p>
        </w:tc>
      </w:tr>
      <w:tr w:rsidR="006D06E6" w:rsidRPr="006D06E6" w14:paraId="65B4BE6F" w14:textId="77777777" w:rsidTr="000D3480">
        <w:tc>
          <w:tcPr>
            <w:tcW w:w="1900" w:type="dxa"/>
            <w:tcMar>
              <w:top w:w="55" w:type="dxa"/>
              <w:left w:w="70" w:type="dxa"/>
              <w:bottom w:w="55" w:type="dxa"/>
              <w:right w:w="70" w:type="dxa"/>
            </w:tcMar>
            <w:vAlign w:val="center"/>
          </w:tcPr>
          <w:p w14:paraId="4306093D" w14:textId="77777777" w:rsidR="00265CCB" w:rsidRPr="006D06E6" w:rsidRDefault="00265CCB" w:rsidP="00474FA7">
            <w:pPr>
              <w:rPr>
                <w:rFonts w:eastAsia="Times New Roman" w:cs="Times New Roman"/>
                <w:sz w:val="24"/>
                <w:szCs w:val="24"/>
              </w:rPr>
            </w:pPr>
            <w:r w:rsidRPr="006D06E6">
              <w:rPr>
                <w:rFonts w:eastAsia="Times New Roman"/>
                <w:sz w:val="24"/>
              </w:rPr>
              <w:t>Điều 3. Tên gọi các giai đoạn</w:t>
            </w:r>
          </w:p>
        </w:tc>
        <w:tc>
          <w:tcPr>
            <w:tcW w:w="1644" w:type="dxa"/>
            <w:tcMar>
              <w:top w:w="55" w:type="dxa"/>
              <w:left w:w="70" w:type="dxa"/>
              <w:bottom w:w="55" w:type="dxa"/>
              <w:right w:w="70" w:type="dxa"/>
            </w:tcMar>
            <w:vAlign w:val="center"/>
          </w:tcPr>
          <w:p w14:paraId="599D3E81" w14:textId="77777777" w:rsidR="00265CCB" w:rsidRPr="006D06E6" w:rsidRDefault="00265CCB" w:rsidP="00474FA7">
            <w:pPr>
              <w:jc w:val="center"/>
              <w:rPr>
                <w:rFonts w:cs="Times New Roman"/>
                <w:sz w:val="24"/>
                <w:szCs w:val="24"/>
              </w:rPr>
            </w:pPr>
            <w:r w:rsidRPr="006D06E6">
              <w:rPr>
                <w:rFonts w:eastAsia="Times New Roman"/>
                <w:sz w:val="24"/>
              </w:rPr>
              <w:t>Ý kiến góp ý của InnoLab Asia</w:t>
            </w:r>
          </w:p>
        </w:tc>
        <w:tc>
          <w:tcPr>
            <w:tcW w:w="5812" w:type="dxa"/>
            <w:tcMar>
              <w:top w:w="55" w:type="dxa"/>
              <w:left w:w="70" w:type="dxa"/>
              <w:bottom w:w="55" w:type="dxa"/>
              <w:right w:w="70" w:type="dxa"/>
            </w:tcMar>
            <w:vAlign w:val="center"/>
          </w:tcPr>
          <w:p w14:paraId="0073B070" w14:textId="77777777" w:rsidR="00491087" w:rsidRPr="006D06E6" w:rsidRDefault="00491087" w:rsidP="00491087">
            <w:pPr>
              <w:tabs>
                <w:tab w:val="left" w:pos="4781"/>
              </w:tabs>
              <w:spacing w:before="80"/>
              <w:jc w:val="both"/>
              <w:rPr>
                <w:sz w:val="24"/>
                <w:szCs w:val="24"/>
              </w:rPr>
            </w:pPr>
            <w:r w:rsidRPr="006D06E6">
              <w:rPr>
                <w:rFonts w:eastAsia="Times New Roman"/>
                <w:sz w:val="24"/>
              </w:rPr>
              <w:t xml:space="preserve">Đề nghị điều chỉnh tên gọi các giai đoạn theo hướng “giai đoạn ý tưởng - giai đoạn kiểm chứng - giai đoạn tăng tốc” thay cho “giai đoạn tiền ươm tạo - giai đoạn ươm tạo - giai </w:t>
            </w:r>
            <w:r w:rsidRPr="006D06E6">
              <w:rPr>
                <w:rFonts w:eastAsia="Times New Roman"/>
                <w:sz w:val="24"/>
              </w:rPr>
              <w:lastRenderedPageBreak/>
              <w:t>đoạn tăng tốc” để phân biệt “ươm tạo dự án khởi nghiệp sáng tạo” là hoạt động hỗ trợ xuyên suốt với tên của từng giai đoạn cụ thể.</w:t>
            </w:r>
          </w:p>
        </w:tc>
        <w:tc>
          <w:tcPr>
            <w:tcW w:w="5953" w:type="dxa"/>
            <w:tcMar>
              <w:top w:w="55" w:type="dxa"/>
              <w:left w:w="70" w:type="dxa"/>
              <w:bottom w:w="55" w:type="dxa"/>
              <w:right w:w="70" w:type="dxa"/>
            </w:tcMar>
            <w:vAlign w:val="center"/>
          </w:tcPr>
          <w:p w14:paraId="7144566E" w14:textId="77777777" w:rsidR="00265CCB" w:rsidRPr="006D06E6" w:rsidRDefault="00265CCB" w:rsidP="00474FA7">
            <w:pPr>
              <w:jc w:val="both"/>
              <w:rPr>
                <w:rFonts w:cs="Times New Roman"/>
                <w:sz w:val="24"/>
                <w:szCs w:val="24"/>
              </w:rPr>
            </w:pPr>
            <w:r w:rsidRPr="006D06E6">
              <w:rPr>
                <w:rFonts w:eastAsia="Times New Roman"/>
                <w:sz w:val="24"/>
              </w:rPr>
              <w:lastRenderedPageBreak/>
              <w:t>Tiếp thu. Dự thảo đã điều chỉnh thống nhất tên 03 giai đoạn thành “giai đoạn ý tưởng - giai đoạn kiểm chứng - giai đoạn tăng tốc”, qua đó tránh sử dụng thuật ngữ “ươm tạo” đồng thời theo nghĩa bao quát và theo nghĩa tên một giai đoạn.</w:t>
            </w:r>
          </w:p>
        </w:tc>
      </w:tr>
      <w:tr w:rsidR="006D06E6" w:rsidRPr="006D06E6" w14:paraId="0C759A89" w14:textId="77777777" w:rsidTr="000D3480">
        <w:tc>
          <w:tcPr>
            <w:tcW w:w="1900" w:type="dxa"/>
            <w:tcMar>
              <w:top w:w="55" w:type="dxa"/>
              <w:left w:w="70" w:type="dxa"/>
              <w:bottom w:w="55" w:type="dxa"/>
              <w:right w:w="70" w:type="dxa"/>
            </w:tcMar>
            <w:vAlign w:val="center"/>
          </w:tcPr>
          <w:p w14:paraId="61FA9318" w14:textId="77777777" w:rsidR="00265CCB" w:rsidRPr="006D06E6" w:rsidRDefault="00265CCB" w:rsidP="00474FA7">
            <w:pPr>
              <w:rPr>
                <w:rFonts w:eastAsia="Times New Roman" w:cs="Times New Roman"/>
                <w:sz w:val="24"/>
                <w:szCs w:val="24"/>
              </w:rPr>
            </w:pPr>
            <w:r w:rsidRPr="006D06E6">
              <w:rPr>
                <w:rFonts w:eastAsia="Times New Roman"/>
                <w:sz w:val="24"/>
              </w:rPr>
              <w:t>Bản so sánh, thuyết minh. Cơ sở của việc đổi tên giai đoạn</w:t>
            </w:r>
          </w:p>
        </w:tc>
        <w:tc>
          <w:tcPr>
            <w:tcW w:w="1644" w:type="dxa"/>
            <w:tcMar>
              <w:top w:w="55" w:type="dxa"/>
              <w:left w:w="70" w:type="dxa"/>
              <w:bottom w:w="55" w:type="dxa"/>
              <w:right w:w="70" w:type="dxa"/>
            </w:tcMar>
            <w:vAlign w:val="center"/>
          </w:tcPr>
          <w:p w14:paraId="64E9F9B3" w14:textId="77777777" w:rsidR="00265CCB" w:rsidRPr="006D06E6" w:rsidRDefault="00265CCB" w:rsidP="00474FA7">
            <w:pPr>
              <w:jc w:val="center"/>
              <w:rPr>
                <w:rFonts w:cs="Times New Roman"/>
                <w:sz w:val="24"/>
                <w:szCs w:val="24"/>
              </w:rPr>
            </w:pPr>
          </w:p>
        </w:tc>
        <w:tc>
          <w:tcPr>
            <w:tcW w:w="5812" w:type="dxa"/>
            <w:tcMar>
              <w:top w:w="55" w:type="dxa"/>
              <w:left w:w="70" w:type="dxa"/>
              <w:bottom w:w="55" w:type="dxa"/>
              <w:right w:w="70" w:type="dxa"/>
            </w:tcMar>
            <w:vAlign w:val="center"/>
          </w:tcPr>
          <w:p w14:paraId="7F1D3D23" w14:textId="77777777" w:rsidR="00491087" w:rsidRPr="006D06E6" w:rsidRDefault="00491087" w:rsidP="00491087">
            <w:pPr>
              <w:tabs>
                <w:tab w:val="left" w:pos="4781"/>
              </w:tabs>
              <w:spacing w:before="80"/>
              <w:jc w:val="both"/>
              <w:rPr>
                <w:sz w:val="24"/>
                <w:szCs w:val="24"/>
              </w:rPr>
            </w:pPr>
            <w:r w:rsidRPr="006D06E6">
              <w:rPr>
                <w:rFonts w:eastAsia="Times New Roman"/>
                <w:sz w:val="24"/>
              </w:rPr>
              <w:t>Đề nghị bổ sung lập luận về tính thống nhất thuật ngữ với điểm h khoản 2 Điều 30 Luật Phát triển đô thị, trong đó cụm “chi phí ươm tạo dự án khởi nghiệp sáng tạo” được sử dụng theo nghĩa bao quát toàn bộ chính sách hỗ trợ.</w:t>
            </w:r>
          </w:p>
        </w:tc>
        <w:tc>
          <w:tcPr>
            <w:tcW w:w="5953" w:type="dxa"/>
            <w:tcMar>
              <w:top w:w="55" w:type="dxa"/>
              <w:left w:w="70" w:type="dxa"/>
              <w:bottom w:w="55" w:type="dxa"/>
              <w:right w:w="70" w:type="dxa"/>
            </w:tcMar>
            <w:vAlign w:val="center"/>
          </w:tcPr>
          <w:p w14:paraId="1FBF643F" w14:textId="77777777" w:rsidR="00265CCB" w:rsidRPr="006D06E6" w:rsidRDefault="00265CCB" w:rsidP="00474FA7">
            <w:pPr>
              <w:jc w:val="both"/>
              <w:rPr>
                <w:rFonts w:cs="Times New Roman"/>
                <w:sz w:val="24"/>
                <w:szCs w:val="24"/>
              </w:rPr>
            </w:pPr>
            <w:r w:rsidRPr="006D06E6">
              <w:rPr>
                <w:rFonts w:eastAsia="Times New Roman"/>
                <w:sz w:val="24"/>
              </w:rPr>
              <w:t>Tiếp thu. Bản so sánh, thuyết minh và Tờ trình được bổ sung giải thích việc đổi tên nhằm làm rõ “ươm tạo dự án khởi nghiệp sáng tạo” là phạm vi hoạt động hỗ trợ xuyên suốt, còn “ý tưởng - kiểm chứng - tăng tốc” là các giai đoạn cụ thể. Nội dung giải trình được thể hiện theo hướng làm rõ, thống nhất cách sử dụng thuật ngữ, không xác định đây là mâu thuẫn pháp lý giữa dự thảo và Luật.</w:t>
            </w:r>
          </w:p>
        </w:tc>
      </w:tr>
      <w:tr w:rsidR="006D06E6" w:rsidRPr="006D06E6" w14:paraId="0CDDDC71" w14:textId="77777777" w:rsidTr="000D3480">
        <w:tc>
          <w:tcPr>
            <w:tcW w:w="1900" w:type="dxa"/>
            <w:tcMar>
              <w:top w:w="55" w:type="dxa"/>
              <w:left w:w="70" w:type="dxa"/>
              <w:bottom w:w="55" w:type="dxa"/>
              <w:right w:w="70" w:type="dxa"/>
            </w:tcMar>
            <w:vAlign w:val="center"/>
          </w:tcPr>
          <w:p w14:paraId="16B61E7D" w14:textId="77777777" w:rsidR="00265CCB" w:rsidRPr="006D06E6" w:rsidRDefault="00265CCB" w:rsidP="00474FA7">
            <w:pPr>
              <w:rPr>
                <w:rFonts w:eastAsia="Times New Roman" w:cs="Times New Roman"/>
                <w:sz w:val="24"/>
                <w:szCs w:val="24"/>
              </w:rPr>
            </w:pPr>
            <w:r w:rsidRPr="006D06E6">
              <w:rPr>
                <w:rFonts w:eastAsia="Times New Roman"/>
                <w:sz w:val="24"/>
              </w:rPr>
              <w:t>Điều 3. Giải thích “ươm tạo dự án khởi nghiệp sáng tạo”</w:t>
            </w:r>
          </w:p>
        </w:tc>
        <w:tc>
          <w:tcPr>
            <w:tcW w:w="1644" w:type="dxa"/>
            <w:tcMar>
              <w:top w:w="55" w:type="dxa"/>
              <w:left w:w="70" w:type="dxa"/>
              <w:bottom w:w="55" w:type="dxa"/>
              <w:right w:w="70" w:type="dxa"/>
            </w:tcMar>
            <w:vAlign w:val="center"/>
          </w:tcPr>
          <w:p w14:paraId="63BC5509" w14:textId="77777777" w:rsidR="00265CCB" w:rsidRPr="006D06E6" w:rsidRDefault="00265CCB" w:rsidP="00474FA7">
            <w:pPr>
              <w:jc w:val="center"/>
              <w:rPr>
                <w:rFonts w:cs="Times New Roman"/>
                <w:sz w:val="24"/>
                <w:szCs w:val="24"/>
              </w:rPr>
            </w:pPr>
          </w:p>
        </w:tc>
        <w:tc>
          <w:tcPr>
            <w:tcW w:w="5812" w:type="dxa"/>
            <w:tcMar>
              <w:top w:w="55" w:type="dxa"/>
              <w:left w:w="70" w:type="dxa"/>
              <w:bottom w:w="55" w:type="dxa"/>
              <w:right w:w="70" w:type="dxa"/>
            </w:tcMar>
            <w:vAlign w:val="center"/>
          </w:tcPr>
          <w:p w14:paraId="4B1719E1" w14:textId="77777777" w:rsidR="00491087" w:rsidRPr="006D06E6" w:rsidRDefault="00491087" w:rsidP="00491087">
            <w:pPr>
              <w:tabs>
                <w:tab w:val="left" w:pos="4781"/>
              </w:tabs>
              <w:spacing w:before="80"/>
              <w:jc w:val="both"/>
              <w:rPr>
                <w:sz w:val="24"/>
                <w:szCs w:val="24"/>
              </w:rPr>
            </w:pPr>
            <w:r w:rsidRPr="006D06E6">
              <w:rPr>
                <w:rFonts w:eastAsia="Times New Roman"/>
                <w:sz w:val="24"/>
              </w:rPr>
              <w:t>Đề nghị bổ sung khoản giải thích từ ngữ làm rõ “ươm tạo dự án khởi nghiệp sáng tạo” là hoạt động hỗ trợ xuyên suốt quá trình phát triển của dự án, được thực hiện qua ba giai đoạn: ý tưởng, kiểm chứng và tăng tốc.</w:t>
            </w:r>
          </w:p>
        </w:tc>
        <w:tc>
          <w:tcPr>
            <w:tcW w:w="5953" w:type="dxa"/>
            <w:tcMar>
              <w:top w:w="55" w:type="dxa"/>
              <w:left w:w="70" w:type="dxa"/>
              <w:bottom w:w="55" w:type="dxa"/>
              <w:right w:w="70" w:type="dxa"/>
            </w:tcMar>
            <w:vAlign w:val="center"/>
          </w:tcPr>
          <w:p w14:paraId="50489DE3" w14:textId="77777777" w:rsidR="00265CCB" w:rsidRPr="006D06E6" w:rsidRDefault="00265CCB" w:rsidP="00474FA7">
            <w:pPr>
              <w:jc w:val="both"/>
              <w:rPr>
                <w:rFonts w:cs="Times New Roman"/>
                <w:sz w:val="24"/>
                <w:szCs w:val="24"/>
              </w:rPr>
            </w:pPr>
            <w:r w:rsidRPr="006D06E6">
              <w:rPr>
                <w:rFonts w:eastAsia="Times New Roman"/>
                <w:sz w:val="24"/>
              </w:rPr>
              <w:t>Tiếp thu. Điều 3 đã bổ sung nội dung giải thích “ươm tạo dự án khởi nghiệp sáng tạo” là hoạt động hỗ trợ của trung tâm ươm tạo đối với dự án trong 03 giai đoạn ý tưởng, kiểm chứng và tăng tốc.</w:t>
            </w:r>
          </w:p>
        </w:tc>
      </w:tr>
      <w:tr w:rsidR="006D06E6" w:rsidRPr="006D06E6" w14:paraId="3FC07AC8" w14:textId="77777777" w:rsidTr="000D3480">
        <w:tc>
          <w:tcPr>
            <w:tcW w:w="1900" w:type="dxa"/>
            <w:tcMar>
              <w:top w:w="55" w:type="dxa"/>
              <w:left w:w="70" w:type="dxa"/>
              <w:bottom w:w="55" w:type="dxa"/>
              <w:right w:w="70" w:type="dxa"/>
            </w:tcMar>
            <w:vAlign w:val="center"/>
          </w:tcPr>
          <w:p w14:paraId="365E9FC3" w14:textId="77777777" w:rsidR="00265CCB" w:rsidRPr="006D06E6" w:rsidRDefault="00265CCB" w:rsidP="00474FA7">
            <w:pPr>
              <w:rPr>
                <w:rFonts w:eastAsia="Times New Roman" w:cs="Times New Roman"/>
                <w:sz w:val="24"/>
                <w:szCs w:val="24"/>
              </w:rPr>
            </w:pPr>
            <w:r w:rsidRPr="006D06E6">
              <w:rPr>
                <w:rFonts w:eastAsia="Times New Roman"/>
                <w:sz w:val="24"/>
              </w:rPr>
              <w:t>Rà soát đồng bộ thuật ngữ trong toàn bộ hồ sơ</w:t>
            </w:r>
          </w:p>
        </w:tc>
        <w:tc>
          <w:tcPr>
            <w:tcW w:w="1644" w:type="dxa"/>
            <w:tcMar>
              <w:top w:w="55" w:type="dxa"/>
              <w:left w:w="70" w:type="dxa"/>
              <w:bottom w:w="55" w:type="dxa"/>
              <w:right w:w="70" w:type="dxa"/>
            </w:tcMar>
            <w:vAlign w:val="center"/>
          </w:tcPr>
          <w:p w14:paraId="6723C4F8" w14:textId="77777777" w:rsidR="00265CCB" w:rsidRPr="006D06E6" w:rsidRDefault="00265CCB" w:rsidP="00474FA7">
            <w:pPr>
              <w:jc w:val="center"/>
              <w:rPr>
                <w:rFonts w:cs="Times New Roman"/>
                <w:sz w:val="24"/>
                <w:szCs w:val="24"/>
              </w:rPr>
            </w:pPr>
          </w:p>
        </w:tc>
        <w:tc>
          <w:tcPr>
            <w:tcW w:w="5812" w:type="dxa"/>
            <w:tcMar>
              <w:top w:w="55" w:type="dxa"/>
              <w:left w:w="70" w:type="dxa"/>
              <w:bottom w:w="55" w:type="dxa"/>
              <w:right w:w="70" w:type="dxa"/>
            </w:tcMar>
            <w:vAlign w:val="center"/>
          </w:tcPr>
          <w:p w14:paraId="624842B8" w14:textId="77777777" w:rsidR="00491087" w:rsidRPr="006D06E6" w:rsidRDefault="00491087" w:rsidP="00491087">
            <w:pPr>
              <w:tabs>
                <w:tab w:val="left" w:pos="4781"/>
              </w:tabs>
              <w:spacing w:before="80"/>
              <w:jc w:val="both"/>
              <w:rPr>
                <w:sz w:val="24"/>
                <w:szCs w:val="24"/>
              </w:rPr>
            </w:pPr>
            <w:r w:rsidRPr="006D06E6">
              <w:rPr>
                <w:rFonts w:eastAsia="Times New Roman"/>
                <w:sz w:val="24"/>
              </w:rPr>
              <w:t>Đề nghị rà soát ngoài Điều 3, bao gồm căn cứ pháp lý, Tờ trình, các điều khoản về mức hỗ trợ, điều kiện, hồ sơ, trình tự, thủ tục và Báo cáo đánh giá tác động chính sách để sử dụng thống nhất tên gọi các giai đoạn.</w:t>
            </w:r>
          </w:p>
        </w:tc>
        <w:tc>
          <w:tcPr>
            <w:tcW w:w="5953" w:type="dxa"/>
            <w:tcMar>
              <w:top w:w="55" w:type="dxa"/>
              <w:left w:w="70" w:type="dxa"/>
              <w:bottom w:w="55" w:type="dxa"/>
              <w:right w:w="70" w:type="dxa"/>
            </w:tcMar>
            <w:vAlign w:val="center"/>
          </w:tcPr>
          <w:p w14:paraId="09348AE0" w14:textId="77777777" w:rsidR="00265CCB" w:rsidRPr="006D06E6" w:rsidRDefault="00265CCB" w:rsidP="00474FA7">
            <w:pPr>
              <w:jc w:val="both"/>
              <w:rPr>
                <w:rFonts w:cs="Times New Roman"/>
                <w:sz w:val="24"/>
                <w:szCs w:val="24"/>
              </w:rPr>
            </w:pPr>
            <w:r w:rsidRPr="006D06E6">
              <w:rPr>
                <w:rFonts w:eastAsia="Times New Roman"/>
                <w:sz w:val="24"/>
              </w:rPr>
              <w:t>Tiếp thu. Tờ trình, Bản so sánh, thuyết minh, Bản đánh giá thủ tục hành chính, Báo cáo đánh giá tác động chính sách và các tài liệu có liên quan đã được rà soát, cập nhật đồng bộ thuật ngữ “giai đoạn ý tưởng - giai đoạn kiểm chứng - giai đoạn tăng tốc”.</w:t>
            </w:r>
          </w:p>
        </w:tc>
      </w:tr>
      <w:tr w:rsidR="006D06E6" w:rsidRPr="006D06E6" w14:paraId="2A70C9F1" w14:textId="77777777" w:rsidTr="000D3480">
        <w:tc>
          <w:tcPr>
            <w:tcW w:w="1900" w:type="dxa"/>
            <w:tcMar>
              <w:top w:w="55" w:type="dxa"/>
              <w:left w:w="70" w:type="dxa"/>
              <w:bottom w:w="55" w:type="dxa"/>
              <w:right w:w="70" w:type="dxa"/>
            </w:tcMar>
            <w:vAlign w:val="center"/>
          </w:tcPr>
          <w:p w14:paraId="56332877" w14:textId="77777777" w:rsidR="00265CCB" w:rsidRPr="006D06E6" w:rsidRDefault="00265CCB" w:rsidP="00474FA7">
            <w:pPr>
              <w:rPr>
                <w:rFonts w:eastAsia="Times New Roman" w:cs="Times New Roman"/>
                <w:sz w:val="24"/>
                <w:szCs w:val="24"/>
              </w:rPr>
            </w:pPr>
            <w:r w:rsidRPr="006D06E6">
              <w:rPr>
                <w:rFonts w:eastAsia="Times New Roman"/>
                <w:sz w:val="24"/>
              </w:rPr>
              <w:t>Tham khảo thực tiễn hệ sinh thái khởi nghiệp</w:t>
            </w:r>
          </w:p>
        </w:tc>
        <w:tc>
          <w:tcPr>
            <w:tcW w:w="1644" w:type="dxa"/>
            <w:tcMar>
              <w:top w:w="55" w:type="dxa"/>
              <w:left w:w="70" w:type="dxa"/>
              <w:bottom w:w="55" w:type="dxa"/>
              <w:right w:w="70" w:type="dxa"/>
            </w:tcMar>
            <w:vAlign w:val="center"/>
          </w:tcPr>
          <w:p w14:paraId="03A446F5" w14:textId="77777777" w:rsidR="00265CCB" w:rsidRPr="006D06E6" w:rsidRDefault="00265CCB" w:rsidP="00474FA7">
            <w:pPr>
              <w:jc w:val="center"/>
              <w:rPr>
                <w:rFonts w:cs="Times New Roman"/>
                <w:sz w:val="24"/>
                <w:szCs w:val="24"/>
              </w:rPr>
            </w:pPr>
          </w:p>
        </w:tc>
        <w:tc>
          <w:tcPr>
            <w:tcW w:w="5812" w:type="dxa"/>
            <w:tcMar>
              <w:top w:w="55" w:type="dxa"/>
              <w:left w:w="70" w:type="dxa"/>
              <w:bottom w:w="55" w:type="dxa"/>
              <w:right w:w="70" w:type="dxa"/>
            </w:tcMar>
            <w:vAlign w:val="center"/>
          </w:tcPr>
          <w:p w14:paraId="5042E3CB" w14:textId="77777777" w:rsidR="00491087" w:rsidRPr="006D06E6" w:rsidRDefault="00491087" w:rsidP="00491087">
            <w:pPr>
              <w:tabs>
                <w:tab w:val="left" w:pos="4781"/>
              </w:tabs>
              <w:spacing w:before="80"/>
              <w:jc w:val="both"/>
              <w:rPr>
                <w:sz w:val="24"/>
                <w:szCs w:val="24"/>
              </w:rPr>
            </w:pPr>
            <w:r w:rsidRPr="006D06E6">
              <w:rPr>
                <w:rFonts w:eastAsia="Times New Roman"/>
                <w:sz w:val="24"/>
              </w:rPr>
              <w:t>Góp ý cho rằng cách phân chia “ý tưởng - kiểm chứng - tăng tốc” gần với cách phân loại giai đoạn dự án trong một số hệ sinh thái khởi nghiệp quốc tế và khu vực, thuận lợi khi Thành phố làm việc với đối tác, quỹ đầu tư và tổ chức hỗ trợ khởi nghiệp nước ngoài.</w:t>
            </w:r>
          </w:p>
        </w:tc>
        <w:tc>
          <w:tcPr>
            <w:tcW w:w="5953" w:type="dxa"/>
            <w:tcMar>
              <w:top w:w="55" w:type="dxa"/>
              <w:left w:w="70" w:type="dxa"/>
              <w:bottom w:w="55" w:type="dxa"/>
              <w:right w:w="70" w:type="dxa"/>
            </w:tcMar>
            <w:vAlign w:val="center"/>
          </w:tcPr>
          <w:p w14:paraId="3129C4D4" w14:textId="77777777" w:rsidR="00265CCB" w:rsidRPr="006D06E6" w:rsidRDefault="00265CCB" w:rsidP="00474FA7">
            <w:pPr>
              <w:jc w:val="both"/>
              <w:rPr>
                <w:rFonts w:cs="Times New Roman"/>
                <w:sz w:val="24"/>
                <w:szCs w:val="24"/>
              </w:rPr>
            </w:pPr>
            <w:r w:rsidRPr="006D06E6">
              <w:rPr>
                <w:rFonts w:eastAsia="Times New Roman"/>
                <w:sz w:val="24"/>
              </w:rPr>
              <w:t>Ghi nhận. Nội dung này được sử dụng như thông tin tham khảo về thực tiễn hệ sinh thái khởi nghiệp, không phải căn cứ pháp lý trực tiếp của Nghị quyết. Cơ sở pháp lý của việc quy định các giai đoạn vẫn được xác định theo Luật Phát triển đô thị và các quy định pháp luật có liên quan.</w:t>
            </w:r>
          </w:p>
        </w:tc>
      </w:tr>
    </w:tbl>
    <w:p w14:paraId="43FFDC9F" w14:textId="77777777" w:rsidR="00B562A6" w:rsidRPr="006D06E6" w:rsidRDefault="00B562A6"/>
    <w:sectPr w:rsidR="00B562A6" w:rsidRPr="006D06E6" w:rsidSect="00B562A6">
      <w:headerReference w:type="default" r:id="rId8"/>
      <w:pgSz w:w="16838" w:h="11906" w:orient="landscape" w:code="9"/>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2C12B" w14:textId="77777777" w:rsidR="00424EE3" w:rsidRDefault="00424EE3" w:rsidP="0053477C">
      <w:pPr>
        <w:spacing w:after="0" w:line="240" w:lineRule="auto"/>
      </w:pPr>
      <w:r>
        <w:separator/>
      </w:r>
    </w:p>
  </w:endnote>
  <w:endnote w:type="continuationSeparator" w:id="0">
    <w:p w14:paraId="2C63B00F" w14:textId="77777777" w:rsidR="00424EE3" w:rsidRDefault="00424EE3" w:rsidP="0053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D3CD8" w14:textId="77777777" w:rsidR="00424EE3" w:rsidRDefault="00424EE3" w:rsidP="0053477C">
      <w:pPr>
        <w:spacing w:after="0" w:line="240" w:lineRule="auto"/>
      </w:pPr>
      <w:r>
        <w:separator/>
      </w:r>
    </w:p>
  </w:footnote>
  <w:footnote w:type="continuationSeparator" w:id="0">
    <w:p w14:paraId="7F400BC2" w14:textId="77777777" w:rsidR="00424EE3" w:rsidRDefault="00424EE3" w:rsidP="00534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427206"/>
      <w:docPartObj>
        <w:docPartGallery w:val="Page Numbers (Top of Page)"/>
        <w:docPartUnique/>
      </w:docPartObj>
    </w:sdtPr>
    <w:sdtEndPr>
      <w:rPr>
        <w:noProof/>
        <w:sz w:val="24"/>
        <w:szCs w:val="24"/>
      </w:rPr>
    </w:sdtEndPr>
    <w:sdtContent>
      <w:p w14:paraId="27C6DAC8" w14:textId="77777777" w:rsidR="00F3794D" w:rsidRPr="004661D1" w:rsidRDefault="00F3794D" w:rsidP="004661D1">
        <w:pPr>
          <w:pStyle w:val="Header"/>
          <w:jc w:val="center"/>
          <w:rPr>
            <w:sz w:val="24"/>
            <w:szCs w:val="24"/>
          </w:rPr>
        </w:pPr>
        <w:r w:rsidRPr="004661D1">
          <w:rPr>
            <w:sz w:val="24"/>
            <w:szCs w:val="24"/>
          </w:rPr>
          <w:fldChar w:fldCharType="begin"/>
        </w:r>
        <w:r w:rsidRPr="004661D1">
          <w:rPr>
            <w:sz w:val="24"/>
            <w:szCs w:val="24"/>
          </w:rPr>
          <w:instrText xml:space="preserve"> PAGE   \* MERGEFORMAT </w:instrText>
        </w:r>
        <w:r w:rsidRPr="004661D1">
          <w:rPr>
            <w:sz w:val="24"/>
            <w:szCs w:val="24"/>
          </w:rPr>
          <w:fldChar w:fldCharType="separate"/>
        </w:r>
        <w:r w:rsidR="00097022">
          <w:rPr>
            <w:noProof/>
            <w:sz w:val="24"/>
            <w:szCs w:val="24"/>
          </w:rPr>
          <w:t>21</w:t>
        </w:r>
        <w:r w:rsidRPr="004661D1">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0B14D8"/>
    <w:multiLevelType w:val="hybridMultilevel"/>
    <w:tmpl w:val="0922BEE6"/>
    <w:lvl w:ilvl="0" w:tplc="0D364706">
      <w:start w:val="1"/>
      <w:numFmt w:val="decimal"/>
      <w:lvlText w:val="%1."/>
      <w:lvlJc w:val="left"/>
      <w:pPr>
        <w:ind w:left="1427" w:hanging="281"/>
      </w:pPr>
      <w:rPr>
        <w:rFonts w:ascii="Times New Roman" w:eastAsia="Times New Roman" w:hAnsi="Times New Roman" w:cs="Times New Roman" w:hint="default"/>
        <w:b/>
        <w:bCs/>
        <w:i w:val="0"/>
        <w:iCs w:val="0"/>
        <w:spacing w:val="0"/>
        <w:w w:val="100"/>
        <w:sz w:val="24"/>
        <w:szCs w:val="24"/>
        <w:lang w:val="vi" w:eastAsia="en-US" w:bidi="ar-SA"/>
      </w:rPr>
    </w:lvl>
    <w:lvl w:ilvl="1" w:tplc="CB8AE0F0">
      <w:numFmt w:val="bullet"/>
      <w:lvlText w:val="-"/>
      <w:lvlJc w:val="left"/>
      <w:pPr>
        <w:ind w:left="427" w:hanging="188"/>
      </w:pPr>
      <w:rPr>
        <w:rFonts w:ascii="Times New Roman" w:eastAsia="Times New Roman" w:hAnsi="Times New Roman" w:cs="Times New Roman" w:hint="default"/>
        <w:b w:val="0"/>
        <w:bCs w:val="0"/>
        <w:i w:val="0"/>
        <w:iCs w:val="0"/>
        <w:spacing w:val="0"/>
        <w:w w:val="100"/>
        <w:sz w:val="28"/>
        <w:szCs w:val="28"/>
        <w:lang w:val="vi" w:eastAsia="en-US" w:bidi="ar-SA"/>
      </w:rPr>
    </w:lvl>
    <w:lvl w:ilvl="2" w:tplc="09E63798">
      <w:numFmt w:val="bullet"/>
      <w:lvlText w:val="•"/>
      <w:lvlJc w:val="left"/>
      <w:pPr>
        <w:ind w:left="2380" w:hanging="188"/>
      </w:pPr>
      <w:rPr>
        <w:rFonts w:hint="default"/>
        <w:lang w:val="vi" w:eastAsia="en-US" w:bidi="ar-SA"/>
      </w:rPr>
    </w:lvl>
    <w:lvl w:ilvl="3" w:tplc="49D03AD0">
      <w:numFmt w:val="bullet"/>
      <w:lvlText w:val="•"/>
      <w:lvlJc w:val="left"/>
      <w:pPr>
        <w:ind w:left="3341" w:hanging="188"/>
      </w:pPr>
      <w:rPr>
        <w:rFonts w:hint="default"/>
        <w:lang w:val="vi" w:eastAsia="en-US" w:bidi="ar-SA"/>
      </w:rPr>
    </w:lvl>
    <w:lvl w:ilvl="4" w:tplc="BF6E8548">
      <w:numFmt w:val="bullet"/>
      <w:lvlText w:val="•"/>
      <w:lvlJc w:val="left"/>
      <w:pPr>
        <w:ind w:left="4301" w:hanging="188"/>
      </w:pPr>
      <w:rPr>
        <w:rFonts w:hint="default"/>
        <w:lang w:val="vi" w:eastAsia="en-US" w:bidi="ar-SA"/>
      </w:rPr>
    </w:lvl>
    <w:lvl w:ilvl="5" w:tplc="B1FA5912">
      <w:numFmt w:val="bullet"/>
      <w:lvlText w:val="•"/>
      <w:lvlJc w:val="left"/>
      <w:pPr>
        <w:ind w:left="5262" w:hanging="188"/>
      </w:pPr>
      <w:rPr>
        <w:rFonts w:hint="default"/>
        <w:lang w:val="vi" w:eastAsia="en-US" w:bidi="ar-SA"/>
      </w:rPr>
    </w:lvl>
    <w:lvl w:ilvl="6" w:tplc="9F7AA276">
      <w:numFmt w:val="bullet"/>
      <w:lvlText w:val="•"/>
      <w:lvlJc w:val="left"/>
      <w:pPr>
        <w:ind w:left="6223" w:hanging="188"/>
      </w:pPr>
      <w:rPr>
        <w:rFonts w:hint="default"/>
        <w:lang w:val="vi" w:eastAsia="en-US" w:bidi="ar-SA"/>
      </w:rPr>
    </w:lvl>
    <w:lvl w:ilvl="7" w:tplc="1862C51A">
      <w:numFmt w:val="bullet"/>
      <w:lvlText w:val="•"/>
      <w:lvlJc w:val="left"/>
      <w:pPr>
        <w:ind w:left="7183" w:hanging="188"/>
      </w:pPr>
      <w:rPr>
        <w:rFonts w:hint="default"/>
        <w:lang w:val="vi" w:eastAsia="en-US" w:bidi="ar-SA"/>
      </w:rPr>
    </w:lvl>
    <w:lvl w:ilvl="8" w:tplc="EC9CB0EC">
      <w:numFmt w:val="bullet"/>
      <w:lvlText w:val="•"/>
      <w:lvlJc w:val="left"/>
      <w:pPr>
        <w:ind w:left="8144" w:hanging="188"/>
      </w:pPr>
      <w:rPr>
        <w:rFonts w:hint="default"/>
        <w:lang w:val="vi" w:eastAsia="en-US" w:bidi="ar-SA"/>
      </w:rPr>
    </w:lvl>
  </w:abstractNum>
  <w:abstractNum w:abstractNumId="2" w15:restartNumberingAfterBreak="0">
    <w:nsid w:val="06E070B3"/>
    <w:multiLevelType w:val="multilevel"/>
    <w:tmpl w:val="AEBC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E6135"/>
    <w:multiLevelType w:val="multilevel"/>
    <w:tmpl w:val="078A9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76AF3"/>
    <w:multiLevelType w:val="hybridMultilevel"/>
    <w:tmpl w:val="FFA86526"/>
    <w:lvl w:ilvl="0" w:tplc="83B64BD6">
      <w:start w:val="2"/>
      <w:numFmt w:val="decimal"/>
      <w:lvlText w:val="%1."/>
      <w:lvlJc w:val="left"/>
      <w:pPr>
        <w:ind w:left="1427" w:hanging="281"/>
      </w:pPr>
      <w:rPr>
        <w:rFonts w:ascii="Times New Roman" w:eastAsia="Times New Roman" w:hAnsi="Times New Roman" w:cs="Times New Roman" w:hint="default"/>
        <w:b/>
        <w:bCs/>
        <w:i w:val="0"/>
        <w:iCs w:val="0"/>
        <w:spacing w:val="0"/>
        <w:w w:val="100"/>
        <w:sz w:val="24"/>
        <w:szCs w:val="24"/>
        <w:lang w:val="vi" w:eastAsia="en-US" w:bidi="ar-SA"/>
      </w:rPr>
    </w:lvl>
    <w:lvl w:ilvl="1" w:tplc="2438D5E8">
      <w:numFmt w:val="bullet"/>
      <w:lvlText w:val="-"/>
      <w:lvlJc w:val="left"/>
      <w:pPr>
        <w:ind w:left="427" w:hanging="173"/>
      </w:pPr>
      <w:rPr>
        <w:rFonts w:ascii="Times New Roman" w:eastAsia="Times New Roman" w:hAnsi="Times New Roman" w:cs="Times New Roman" w:hint="default"/>
        <w:spacing w:val="0"/>
        <w:w w:val="100"/>
        <w:lang w:val="vi" w:eastAsia="en-US" w:bidi="ar-SA"/>
      </w:rPr>
    </w:lvl>
    <w:lvl w:ilvl="2" w:tplc="C412A34E">
      <w:numFmt w:val="bullet"/>
      <w:lvlText w:val="•"/>
      <w:lvlJc w:val="left"/>
      <w:pPr>
        <w:ind w:left="2380" w:hanging="173"/>
      </w:pPr>
      <w:rPr>
        <w:rFonts w:hint="default"/>
        <w:lang w:val="vi" w:eastAsia="en-US" w:bidi="ar-SA"/>
      </w:rPr>
    </w:lvl>
    <w:lvl w:ilvl="3" w:tplc="86AC0B92">
      <w:numFmt w:val="bullet"/>
      <w:lvlText w:val="•"/>
      <w:lvlJc w:val="left"/>
      <w:pPr>
        <w:ind w:left="3341" w:hanging="173"/>
      </w:pPr>
      <w:rPr>
        <w:rFonts w:hint="default"/>
        <w:lang w:val="vi" w:eastAsia="en-US" w:bidi="ar-SA"/>
      </w:rPr>
    </w:lvl>
    <w:lvl w:ilvl="4" w:tplc="5B1E2822">
      <w:numFmt w:val="bullet"/>
      <w:lvlText w:val="•"/>
      <w:lvlJc w:val="left"/>
      <w:pPr>
        <w:ind w:left="4301" w:hanging="173"/>
      </w:pPr>
      <w:rPr>
        <w:rFonts w:hint="default"/>
        <w:lang w:val="vi" w:eastAsia="en-US" w:bidi="ar-SA"/>
      </w:rPr>
    </w:lvl>
    <w:lvl w:ilvl="5" w:tplc="1D3CDE8A">
      <w:numFmt w:val="bullet"/>
      <w:lvlText w:val="•"/>
      <w:lvlJc w:val="left"/>
      <w:pPr>
        <w:ind w:left="5262" w:hanging="173"/>
      </w:pPr>
      <w:rPr>
        <w:rFonts w:hint="default"/>
        <w:lang w:val="vi" w:eastAsia="en-US" w:bidi="ar-SA"/>
      </w:rPr>
    </w:lvl>
    <w:lvl w:ilvl="6" w:tplc="FA8092C6">
      <w:numFmt w:val="bullet"/>
      <w:lvlText w:val="•"/>
      <w:lvlJc w:val="left"/>
      <w:pPr>
        <w:ind w:left="6223" w:hanging="173"/>
      </w:pPr>
      <w:rPr>
        <w:rFonts w:hint="default"/>
        <w:lang w:val="vi" w:eastAsia="en-US" w:bidi="ar-SA"/>
      </w:rPr>
    </w:lvl>
    <w:lvl w:ilvl="7" w:tplc="2E224462">
      <w:numFmt w:val="bullet"/>
      <w:lvlText w:val="•"/>
      <w:lvlJc w:val="left"/>
      <w:pPr>
        <w:ind w:left="7183" w:hanging="173"/>
      </w:pPr>
      <w:rPr>
        <w:rFonts w:hint="default"/>
        <w:lang w:val="vi" w:eastAsia="en-US" w:bidi="ar-SA"/>
      </w:rPr>
    </w:lvl>
    <w:lvl w:ilvl="8" w:tplc="E8965054">
      <w:numFmt w:val="bullet"/>
      <w:lvlText w:val="•"/>
      <w:lvlJc w:val="left"/>
      <w:pPr>
        <w:ind w:left="8144" w:hanging="173"/>
      </w:pPr>
      <w:rPr>
        <w:rFonts w:hint="default"/>
        <w:lang w:val="vi" w:eastAsia="en-US" w:bidi="ar-SA"/>
      </w:rPr>
    </w:lvl>
  </w:abstractNum>
  <w:abstractNum w:abstractNumId="5" w15:restartNumberingAfterBreak="0">
    <w:nsid w:val="1C4E1BC9"/>
    <w:multiLevelType w:val="multilevel"/>
    <w:tmpl w:val="5CAE14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5C19B1"/>
    <w:multiLevelType w:val="multilevel"/>
    <w:tmpl w:val="7F3A36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B1789A"/>
    <w:multiLevelType w:val="multilevel"/>
    <w:tmpl w:val="09B4B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101436"/>
    <w:multiLevelType w:val="multilevel"/>
    <w:tmpl w:val="05A4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B2F54"/>
    <w:multiLevelType w:val="multilevel"/>
    <w:tmpl w:val="B9D24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897CE8"/>
    <w:multiLevelType w:val="hybridMultilevel"/>
    <w:tmpl w:val="0A7EE12C"/>
    <w:lvl w:ilvl="0" w:tplc="EB7C7218">
      <w:start w:val="1"/>
      <w:numFmt w:val="decimal"/>
      <w:lvlText w:val="%1."/>
      <w:lvlJc w:val="left"/>
      <w:pPr>
        <w:ind w:left="5648" w:hanging="260"/>
      </w:pPr>
      <w:rPr>
        <w:rFonts w:ascii="Times New Roman" w:eastAsia="Times New Roman" w:hAnsi="Times New Roman" w:cs="Times New Roman" w:hint="default"/>
        <w:b/>
        <w:bCs/>
        <w:i w:val="0"/>
        <w:iCs w:val="0"/>
        <w:spacing w:val="-1"/>
        <w:w w:val="100"/>
        <w:sz w:val="24"/>
        <w:szCs w:val="24"/>
        <w:lang w:val="vi" w:eastAsia="en-US" w:bidi="ar-SA"/>
      </w:rPr>
    </w:lvl>
    <w:lvl w:ilvl="1" w:tplc="472A877C">
      <w:numFmt w:val="bullet"/>
      <w:lvlText w:val="●"/>
      <w:lvlJc w:val="left"/>
      <w:pPr>
        <w:ind w:left="6109" w:hanging="360"/>
      </w:pPr>
      <w:rPr>
        <w:rFonts w:ascii="Microsoft Sans Serif" w:eastAsia="Microsoft Sans Serif" w:hAnsi="Microsoft Sans Serif" w:cs="Microsoft Sans Serif" w:hint="default"/>
        <w:b w:val="0"/>
        <w:bCs w:val="0"/>
        <w:i w:val="0"/>
        <w:iCs w:val="0"/>
        <w:spacing w:val="0"/>
        <w:w w:val="100"/>
        <w:sz w:val="22"/>
        <w:szCs w:val="22"/>
        <w:lang w:val="vi" w:eastAsia="en-US" w:bidi="ar-SA"/>
      </w:rPr>
    </w:lvl>
    <w:lvl w:ilvl="2" w:tplc="46745342">
      <w:numFmt w:val="bullet"/>
      <w:lvlText w:val="•"/>
      <w:lvlJc w:val="left"/>
      <w:pPr>
        <w:ind w:left="7069" w:hanging="360"/>
      </w:pPr>
      <w:rPr>
        <w:rFonts w:hint="default"/>
        <w:lang w:val="vi" w:eastAsia="en-US" w:bidi="ar-SA"/>
      </w:rPr>
    </w:lvl>
    <w:lvl w:ilvl="3" w:tplc="6D025658">
      <w:numFmt w:val="bullet"/>
      <w:lvlText w:val="•"/>
      <w:lvlJc w:val="left"/>
      <w:pPr>
        <w:ind w:left="8029" w:hanging="360"/>
      </w:pPr>
      <w:rPr>
        <w:rFonts w:hint="default"/>
        <w:lang w:val="vi" w:eastAsia="en-US" w:bidi="ar-SA"/>
      </w:rPr>
    </w:lvl>
    <w:lvl w:ilvl="4" w:tplc="D5EA1DFE">
      <w:numFmt w:val="bullet"/>
      <w:lvlText w:val="•"/>
      <w:lvlJc w:val="left"/>
      <w:pPr>
        <w:ind w:left="8989" w:hanging="360"/>
      </w:pPr>
      <w:rPr>
        <w:rFonts w:hint="default"/>
        <w:lang w:val="vi" w:eastAsia="en-US" w:bidi="ar-SA"/>
      </w:rPr>
    </w:lvl>
    <w:lvl w:ilvl="5" w:tplc="F4A4F280">
      <w:numFmt w:val="bullet"/>
      <w:lvlText w:val="•"/>
      <w:lvlJc w:val="left"/>
      <w:pPr>
        <w:ind w:left="9949" w:hanging="360"/>
      </w:pPr>
      <w:rPr>
        <w:rFonts w:hint="default"/>
        <w:lang w:val="vi" w:eastAsia="en-US" w:bidi="ar-SA"/>
      </w:rPr>
    </w:lvl>
    <w:lvl w:ilvl="6" w:tplc="CB6EF9EA">
      <w:numFmt w:val="bullet"/>
      <w:lvlText w:val="•"/>
      <w:lvlJc w:val="left"/>
      <w:pPr>
        <w:ind w:left="10909" w:hanging="360"/>
      </w:pPr>
      <w:rPr>
        <w:rFonts w:hint="default"/>
        <w:lang w:val="vi" w:eastAsia="en-US" w:bidi="ar-SA"/>
      </w:rPr>
    </w:lvl>
    <w:lvl w:ilvl="7" w:tplc="0F1280F8">
      <w:numFmt w:val="bullet"/>
      <w:lvlText w:val="•"/>
      <w:lvlJc w:val="left"/>
      <w:pPr>
        <w:ind w:left="11869" w:hanging="360"/>
      </w:pPr>
      <w:rPr>
        <w:rFonts w:hint="default"/>
        <w:lang w:val="vi" w:eastAsia="en-US" w:bidi="ar-SA"/>
      </w:rPr>
    </w:lvl>
    <w:lvl w:ilvl="8" w:tplc="3116747E">
      <w:numFmt w:val="bullet"/>
      <w:lvlText w:val="•"/>
      <w:lvlJc w:val="left"/>
      <w:pPr>
        <w:ind w:left="12829" w:hanging="360"/>
      </w:pPr>
      <w:rPr>
        <w:rFonts w:hint="default"/>
        <w:lang w:val="vi" w:eastAsia="en-US" w:bidi="ar-SA"/>
      </w:rPr>
    </w:lvl>
  </w:abstractNum>
  <w:abstractNum w:abstractNumId="11" w15:restartNumberingAfterBreak="0">
    <w:nsid w:val="77391E11"/>
    <w:multiLevelType w:val="hybridMultilevel"/>
    <w:tmpl w:val="DFEAC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7C1481"/>
    <w:multiLevelType w:val="hybridMultilevel"/>
    <w:tmpl w:val="2DCA032E"/>
    <w:lvl w:ilvl="0" w:tplc="BFB885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19271C"/>
    <w:multiLevelType w:val="hybridMultilevel"/>
    <w:tmpl w:val="48F2F74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42707068">
    <w:abstractNumId w:val="12"/>
  </w:num>
  <w:num w:numId="2" w16cid:durableId="310984278">
    <w:abstractNumId w:val="0"/>
  </w:num>
  <w:num w:numId="3" w16cid:durableId="1695307492">
    <w:abstractNumId w:val="11"/>
  </w:num>
  <w:num w:numId="4" w16cid:durableId="922179220">
    <w:abstractNumId w:val="2"/>
  </w:num>
  <w:num w:numId="5" w16cid:durableId="1282878362">
    <w:abstractNumId w:val="10"/>
  </w:num>
  <w:num w:numId="6" w16cid:durableId="5256496">
    <w:abstractNumId w:val="4"/>
  </w:num>
  <w:num w:numId="7" w16cid:durableId="2145613435">
    <w:abstractNumId w:val="1"/>
  </w:num>
  <w:num w:numId="8" w16cid:durableId="1685089837">
    <w:abstractNumId w:val="6"/>
  </w:num>
  <w:num w:numId="9" w16cid:durableId="1783186475">
    <w:abstractNumId w:val="9"/>
  </w:num>
  <w:num w:numId="10" w16cid:durableId="231280970">
    <w:abstractNumId w:val="5"/>
  </w:num>
  <w:num w:numId="11" w16cid:durableId="383454985">
    <w:abstractNumId w:val="7"/>
  </w:num>
  <w:num w:numId="12" w16cid:durableId="1237279511">
    <w:abstractNumId w:val="3"/>
  </w:num>
  <w:num w:numId="13" w16cid:durableId="1696300974">
    <w:abstractNumId w:val="8"/>
  </w:num>
  <w:num w:numId="14" w16cid:durableId="1370360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1D"/>
    <w:rsid w:val="0000112B"/>
    <w:rsid w:val="000063ED"/>
    <w:rsid w:val="00007CEA"/>
    <w:rsid w:val="00012A93"/>
    <w:rsid w:val="00014498"/>
    <w:rsid w:val="00016FAE"/>
    <w:rsid w:val="000213E6"/>
    <w:rsid w:val="00021768"/>
    <w:rsid w:val="000219DD"/>
    <w:rsid w:val="00025388"/>
    <w:rsid w:val="00026110"/>
    <w:rsid w:val="00030AA8"/>
    <w:rsid w:val="00032921"/>
    <w:rsid w:val="00033EB1"/>
    <w:rsid w:val="00034932"/>
    <w:rsid w:val="00037850"/>
    <w:rsid w:val="0004122C"/>
    <w:rsid w:val="00045A0C"/>
    <w:rsid w:val="00045E5D"/>
    <w:rsid w:val="0004736C"/>
    <w:rsid w:val="000531BE"/>
    <w:rsid w:val="00054402"/>
    <w:rsid w:val="00055479"/>
    <w:rsid w:val="000702FA"/>
    <w:rsid w:val="000752A0"/>
    <w:rsid w:val="0007754E"/>
    <w:rsid w:val="00094F90"/>
    <w:rsid w:val="0009691D"/>
    <w:rsid w:val="00097022"/>
    <w:rsid w:val="000A305A"/>
    <w:rsid w:val="000B1221"/>
    <w:rsid w:val="000B550B"/>
    <w:rsid w:val="000B56A2"/>
    <w:rsid w:val="000B65CD"/>
    <w:rsid w:val="000C20A2"/>
    <w:rsid w:val="000C3ED5"/>
    <w:rsid w:val="000C5216"/>
    <w:rsid w:val="000C5F34"/>
    <w:rsid w:val="000C7BDF"/>
    <w:rsid w:val="000D10BF"/>
    <w:rsid w:val="000D3480"/>
    <w:rsid w:val="000E3DC7"/>
    <w:rsid w:val="000E7083"/>
    <w:rsid w:val="000F14FA"/>
    <w:rsid w:val="000F6ECC"/>
    <w:rsid w:val="000F789D"/>
    <w:rsid w:val="00102B81"/>
    <w:rsid w:val="00106CAB"/>
    <w:rsid w:val="00106EE2"/>
    <w:rsid w:val="00112E97"/>
    <w:rsid w:val="00114780"/>
    <w:rsid w:val="00126E2E"/>
    <w:rsid w:val="00133521"/>
    <w:rsid w:val="00142B64"/>
    <w:rsid w:val="001436D6"/>
    <w:rsid w:val="00146F9C"/>
    <w:rsid w:val="00147679"/>
    <w:rsid w:val="00152E04"/>
    <w:rsid w:val="0015787B"/>
    <w:rsid w:val="00161732"/>
    <w:rsid w:val="00172BE6"/>
    <w:rsid w:val="00182A3A"/>
    <w:rsid w:val="00183C87"/>
    <w:rsid w:val="00185F8C"/>
    <w:rsid w:val="0019159D"/>
    <w:rsid w:val="001973FD"/>
    <w:rsid w:val="001A5219"/>
    <w:rsid w:val="001B1106"/>
    <w:rsid w:val="001B2BB8"/>
    <w:rsid w:val="001C2780"/>
    <w:rsid w:val="001C4AFE"/>
    <w:rsid w:val="001C6507"/>
    <w:rsid w:val="001F1A97"/>
    <w:rsid w:val="001F1FD6"/>
    <w:rsid w:val="001F2828"/>
    <w:rsid w:val="001F32FB"/>
    <w:rsid w:val="001F7D88"/>
    <w:rsid w:val="00204CAB"/>
    <w:rsid w:val="002066DE"/>
    <w:rsid w:val="00207BC4"/>
    <w:rsid w:val="00207E55"/>
    <w:rsid w:val="00213BAB"/>
    <w:rsid w:val="002143C3"/>
    <w:rsid w:val="0021774D"/>
    <w:rsid w:val="0023164A"/>
    <w:rsid w:val="002344A6"/>
    <w:rsid w:val="00236C5A"/>
    <w:rsid w:val="002430B0"/>
    <w:rsid w:val="002442D0"/>
    <w:rsid w:val="0025149E"/>
    <w:rsid w:val="00254864"/>
    <w:rsid w:val="00256893"/>
    <w:rsid w:val="00257A3D"/>
    <w:rsid w:val="002600E4"/>
    <w:rsid w:val="00265CCB"/>
    <w:rsid w:val="00266418"/>
    <w:rsid w:val="00266899"/>
    <w:rsid w:val="00280B80"/>
    <w:rsid w:val="002A15BB"/>
    <w:rsid w:val="002A35C1"/>
    <w:rsid w:val="002B09D1"/>
    <w:rsid w:val="002B0D1F"/>
    <w:rsid w:val="002B1684"/>
    <w:rsid w:val="002B32BB"/>
    <w:rsid w:val="002C10DF"/>
    <w:rsid w:val="002C667C"/>
    <w:rsid w:val="002D317B"/>
    <w:rsid w:val="002E1EF3"/>
    <w:rsid w:val="002E3706"/>
    <w:rsid w:val="002E6DCF"/>
    <w:rsid w:val="002F3E0E"/>
    <w:rsid w:val="002F4946"/>
    <w:rsid w:val="00306750"/>
    <w:rsid w:val="00314EF5"/>
    <w:rsid w:val="00315529"/>
    <w:rsid w:val="0031668E"/>
    <w:rsid w:val="00317EE5"/>
    <w:rsid w:val="00321436"/>
    <w:rsid w:val="00321EFD"/>
    <w:rsid w:val="00322C94"/>
    <w:rsid w:val="00336178"/>
    <w:rsid w:val="003421E1"/>
    <w:rsid w:val="00346DB0"/>
    <w:rsid w:val="00365204"/>
    <w:rsid w:val="003666A2"/>
    <w:rsid w:val="0037346C"/>
    <w:rsid w:val="003769C0"/>
    <w:rsid w:val="00380B99"/>
    <w:rsid w:val="003841F2"/>
    <w:rsid w:val="0039157C"/>
    <w:rsid w:val="003947BF"/>
    <w:rsid w:val="003B44E4"/>
    <w:rsid w:val="003B4520"/>
    <w:rsid w:val="003B4C5A"/>
    <w:rsid w:val="003C04D2"/>
    <w:rsid w:val="003C2AEB"/>
    <w:rsid w:val="003D081E"/>
    <w:rsid w:val="003D71CD"/>
    <w:rsid w:val="003E40E5"/>
    <w:rsid w:val="003F3C98"/>
    <w:rsid w:val="003F5A01"/>
    <w:rsid w:val="004042AD"/>
    <w:rsid w:val="00421788"/>
    <w:rsid w:val="00424EE3"/>
    <w:rsid w:val="0042611A"/>
    <w:rsid w:val="004301B7"/>
    <w:rsid w:val="00432AC9"/>
    <w:rsid w:val="00434205"/>
    <w:rsid w:val="00436F7F"/>
    <w:rsid w:val="00444A96"/>
    <w:rsid w:val="00450A41"/>
    <w:rsid w:val="0046409D"/>
    <w:rsid w:val="004645F5"/>
    <w:rsid w:val="004661D1"/>
    <w:rsid w:val="0047043C"/>
    <w:rsid w:val="00471B69"/>
    <w:rsid w:val="00471D0B"/>
    <w:rsid w:val="00474FA7"/>
    <w:rsid w:val="00486CF6"/>
    <w:rsid w:val="004901A0"/>
    <w:rsid w:val="00491087"/>
    <w:rsid w:val="0049171A"/>
    <w:rsid w:val="0049239A"/>
    <w:rsid w:val="00492B3B"/>
    <w:rsid w:val="00494919"/>
    <w:rsid w:val="004A39ED"/>
    <w:rsid w:val="004B48C9"/>
    <w:rsid w:val="004B5E86"/>
    <w:rsid w:val="004C0F02"/>
    <w:rsid w:val="004C1275"/>
    <w:rsid w:val="004C151D"/>
    <w:rsid w:val="004C1DF7"/>
    <w:rsid w:val="004D04FC"/>
    <w:rsid w:val="004D3813"/>
    <w:rsid w:val="004D7F26"/>
    <w:rsid w:val="004E2AC3"/>
    <w:rsid w:val="004E56B4"/>
    <w:rsid w:val="004F0E47"/>
    <w:rsid w:val="004F36F2"/>
    <w:rsid w:val="004F474F"/>
    <w:rsid w:val="005055E3"/>
    <w:rsid w:val="00506751"/>
    <w:rsid w:val="005132B5"/>
    <w:rsid w:val="00514A76"/>
    <w:rsid w:val="005206F5"/>
    <w:rsid w:val="00522266"/>
    <w:rsid w:val="00524DFA"/>
    <w:rsid w:val="00527FF8"/>
    <w:rsid w:val="0053477C"/>
    <w:rsid w:val="00537412"/>
    <w:rsid w:val="00545C99"/>
    <w:rsid w:val="00550F3A"/>
    <w:rsid w:val="00551B05"/>
    <w:rsid w:val="00554146"/>
    <w:rsid w:val="005553D9"/>
    <w:rsid w:val="00562365"/>
    <w:rsid w:val="005666A1"/>
    <w:rsid w:val="005706B5"/>
    <w:rsid w:val="00572FA0"/>
    <w:rsid w:val="005766F1"/>
    <w:rsid w:val="00577EE0"/>
    <w:rsid w:val="0058063D"/>
    <w:rsid w:val="00584159"/>
    <w:rsid w:val="00584336"/>
    <w:rsid w:val="00585AEE"/>
    <w:rsid w:val="00587E1F"/>
    <w:rsid w:val="00590814"/>
    <w:rsid w:val="00594789"/>
    <w:rsid w:val="005A217F"/>
    <w:rsid w:val="005A2B5D"/>
    <w:rsid w:val="005B1428"/>
    <w:rsid w:val="005B4019"/>
    <w:rsid w:val="005B4DB4"/>
    <w:rsid w:val="005C200D"/>
    <w:rsid w:val="005C6E21"/>
    <w:rsid w:val="005D5160"/>
    <w:rsid w:val="005D5CA4"/>
    <w:rsid w:val="005D696A"/>
    <w:rsid w:val="005E770B"/>
    <w:rsid w:val="005E78A5"/>
    <w:rsid w:val="005F3C08"/>
    <w:rsid w:val="00602F90"/>
    <w:rsid w:val="00607599"/>
    <w:rsid w:val="00615455"/>
    <w:rsid w:val="006418F5"/>
    <w:rsid w:val="00641A1A"/>
    <w:rsid w:val="00645471"/>
    <w:rsid w:val="00655745"/>
    <w:rsid w:val="00662E5C"/>
    <w:rsid w:val="00667F46"/>
    <w:rsid w:val="006702AA"/>
    <w:rsid w:val="00677DDD"/>
    <w:rsid w:val="006824C8"/>
    <w:rsid w:val="00683B09"/>
    <w:rsid w:val="00684C56"/>
    <w:rsid w:val="0068772A"/>
    <w:rsid w:val="00697986"/>
    <w:rsid w:val="006A5AAC"/>
    <w:rsid w:val="006D06E6"/>
    <w:rsid w:val="006D6389"/>
    <w:rsid w:val="006E123F"/>
    <w:rsid w:val="006E1AED"/>
    <w:rsid w:val="006F36CE"/>
    <w:rsid w:val="006F526A"/>
    <w:rsid w:val="00701DBB"/>
    <w:rsid w:val="00713392"/>
    <w:rsid w:val="007254AB"/>
    <w:rsid w:val="0072712B"/>
    <w:rsid w:val="007346EF"/>
    <w:rsid w:val="007413F6"/>
    <w:rsid w:val="00755D80"/>
    <w:rsid w:val="007600A5"/>
    <w:rsid w:val="00767D18"/>
    <w:rsid w:val="007A69B8"/>
    <w:rsid w:val="007B3C55"/>
    <w:rsid w:val="007C0D8E"/>
    <w:rsid w:val="007C47A6"/>
    <w:rsid w:val="007D1803"/>
    <w:rsid w:val="007F1CC3"/>
    <w:rsid w:val="008046A6"/>
    <w:rsid w:val="00822B30"/>
    <w:rsid w:val="00831D1C"/>
    <w:rsid w:val="008334DC"/>
    <w:rsid w:val="008409A7"/>
    <w:rsid w:val="0084732F"/>
    <w:rsid w:val="00860168"/>
    <w:rsid w:val="00861EE4"/>
    <w:rsid w:val="008644FA"/>
    <w:rsid w:val="008662B2"/>
    <w:rsid w:val="0087447F"/>
    <w:rsid w:val="008752A1"/>
    <w:rsid w:val="008831F7"/>
    <w:rsid w:val="00884AFC"/>
    <w:rsid w:val="008B1737"/>
    <w:rsid w:val="008B5375"/>
    <w:rsid w:val="008B7058"/>
    <w:rsid w:val="008C6BD2"/>
    <w:rsid w:val="008C6C88"/>
    <w:rsid w:val="008C7548"/>
    <w:rsid w:val="008D5E98"/>
    <w:rsid w:val="008D7686"/>
    <w:rsid w:val="008E52B0"/>
    <w:rsid w:val="008F1095"/>
    <w:rsid w:val="008F1604"/>
    <w:rsid w:val="008F7F80"/>
    <w:rsid w:val="00913A5E"/>
    <w:rsid w:val="00914B6C"/>
    <w:rsid w:val="00922DBC"/>
    <w:rsid w:val="009249FB"/>
    <w:rsid w:val="0092589E"/>
    <w:rsid w:val="00927DA2"/>
    <w:rsid w:val="00933E6D"/>
    <w:rsid w:val="00945B89"/>
    <w:rsid w:val="00947D98"/>
    <w:rsid w:val="009546EA"/>
    <w:rsid w:val="00955EC1"/>
    <w:rsid w:val="00956249"/>
    <w:rsid w:val="00956F1A"/>
    <w:rsid w:val="009609BD"/>
    <w:rsid w:val="00990CB3"/>
    <w:rsid w:val="009A5BFC"/>
    <w:rsid w:val="009A740D"/>
    <w:rsid w:val="009A756C"/>
    <w:rsid w:val="009C2000"/>
    <w:rsid w:val="009D0052"/>
    <w:rsid w:val="009D65FD"/>
    <w:rsid w:val="009E324F"/>
    <w:rsid w:val="009E6312"/>
    <w:rsid w:val="009F1843"/>
    <w:rsid w:val="009F1B0C"/>
    <w:rsid w:val="009F5388"/>
    <w:rsid w:val="00A008F3"/>
    <w:rsid w:val="00A07D85"/>
    <w:rsid w:val="00A15DB5"/>
    <w:rsid w:val="00A213D4"/>
    <w:rsid w:val="00A226B6"/>
    <w:rsid w:val="00A24B35"/>
    <w:rsid w:val="00A3578C"/>
    <w:rsid w:val="00A46909"/>
    <w:rsid w:val="00A46ABF"/>
    <w:rsid w:val="00A54E69"/>
    <w:rsid w:val="00A66EED"/>
    <w:rsid w:val="00A76AD4"/>
    <w:rsid w:val="00A77C60"/>
    <w:rsid w:val="00A84F8D"/>
    <w:rsid w:val="00A8780C"/>
    <w:rsid w:val="00A9204E"/>
    <w:rsid w:val="00A92940"/>
    <w:rsid w:val="00AB0EA0"/>
    <w:rsid w:val="00AF7A85"/>
    <w:rsid w:val="00B22554"/>
    <w:rsid w:val="00B24B50"/>
    <w:rsid w:val="00B25728"/>
    <w:rsid w:val="00B26D48"/>
    <w:rsid w:val="00B3260D"/>
    <w:rsid w:val="00B362E2"/>
    <w:rsid w:val="00B37020"/>
    <w:rsid w:val="00B40466"/>
    <w:rsid w:val="00B41FCF"/>
    <w:rsid w:val="00B43DEF"/>
    <w:rsid w:val="00B562A6"/>
    <w:rsid w:val="00B6025B"/>
    <w:rsid w:val="00B631B5"/>
    <w:rsid w:val="00B63ACB"/>
    <w:rsid w:val="00B67737"/>
    <w:rsid w:val="00B71D3A"/>
    <w:rsid w:val="00B743E5"/>
    <w:rsid w:val="00B80005"/>
    <w:rsid w:val="00B83579"/>
    <w:rsid w:val="00B8457A"/>
    <w:rsid w:val="00B961D7"/>
    <w:rsid w:val="00BA3111"/>
    <w:rsid w:val="00BA3605"/>
    <w:rsid w:val="00BB383C"/>
    <w:rsid w:val="00BB4C8C"/>
    <w:rsid w:val="00BC119A"/>
    <w:rsid w:val="00BC2C65"/>
    <w:rsid w:val="00BC416B"/>
    <w:rsid w:val="00BC49CD"/>
    <w:rsid w:val="00BD504D"/>
    <w:rsid w:val="00BE1449"/>
    <w:rsid w:val="00BE7CBE"/>
    <w:rsid w:val="00BF2522"/>
    <w:rsid w:val="00BF695A"/>
    <w:rsid w:val="00C0315F"/>
    <w:rsid w:val="00C075DA"/>
    <w:rsid w:val="00C10909"/>
    <w:rsid w:val="00C220F5"/>
    <w:rsid w:val="00C24116"/>
    <w:rsid w:val="00C245AD"/>
    <w:rsid w:val="00C24EDF"/>
    <w:rsid w:val="00C27D2A"/>
    <w:rsid w:val="00C33A93"/>
    <w:rsid w:val="00C40F08"/>
    <w:rsid w:val="00C41B13"/>
    <w:rsid w:val="00C429B1"/>
    <w:rsid w:val="00C53367"/>
    <w:rsid w:val="00C53573"/>
    <w:rsid w:val="00C55A33"/>
    <w:rsid w:val="00C614C0"/>
    <w:rsid w:val="00C627E9"/>
    <w:rsid w:val="00C70E18"/>
    <w:rsid w:val="00C716D9"/>
    <w:rsid w:val="00C75F7D"/>
    <w:rsid w:val="00C77197"/>
    <w:rsid w:val="00C774E5"/>
    <w:rsid w:val="00C84DA5"/>
    <w:rsid w:val="00C85E15"/>
    <w:rsid w:val="00C908EA"/>
    <w:rsid w:val="00C92D17"/>
    <w:rsid w:val="00C92D1D"/>
    <w:rsid w:val="00C967AA"/>
    <w:rsid w:val="00C97B45"/>
    <w:rsid w:val="00CA187F"/>
    <w:rsid w:val="00CA5419"/>
    <w:rsid w:val="00CA675D"/>
    <w:rsid w:val="00CA7C3B"/>
    <w:rsid w:val="00CB6E9D"/>
    <w:rsid w:val="00CC5FD1"/>
    <w:rsid w:val="00CD056B"/>
    <w:rsid w:val="00CD19FB"/>
    <w:rsid w:val="00CD25C1"/>
    <w:rsid w:val="00CD4A05"/>
    <w:rsid w:val="00CD63E2"/>
    <w:rsid w:val="00CE1B8A"/>
    <w:rsid w:val="00CE1D60"/>
    <w:rsid w:val="00CE663A"/>
    <w:rsid w:val="00CE7BA2"/>
    <w:rsid w:val="00D0140C"/>
    <w:rsid w:val="00D059B1"/>
    <w:rsid w:val="00D1011D"/>
    <w:rsid w:val="00D109C0"/>
    <w:rsid w:val="00D16B1F"/>
    <w:rsid w:val="00D17386"/>
    <w:rsid w:val="00D26F66"/>
    <w:rsid w:val="00D2701A"/>
    <w:rsid w:val="00D3236A"/>
    <w:rsid w:val="00D3706C"/>
    <w:rsid w:val="00D37323"/>
    <w:rsid w:val="00D40AFB"/>
    <w:rsid w:val="00D420FA"/>
    <w:rsid w:val="00D5207D"/>
    <w:rsid w:val="00D52115"/>
    <w:rsid w:val="00D63482"/>
    <w:rsid w:val="00D66B89"/>
    <w:rsid w:val="00D67990"/>
    <w:rsid w:val="00D75994"/>
    <w:rsid w:val="00D772D5"/>
    <w:rsid w:val="00D815E4"/>
    <w:rsid w:val="00D86232"/>
    <w:rsid w:val="00D8748F"/>
    <w:rsid w:val="00D9249D"/>
    <w:rsid w:val="00DA2420"/>
    <w:rsid w:val="00DB0E88"/>
    <w:rsid w:val="00DB1BC4"/>
    <w:rsid w:val="00DB56F0"/>
    <w:rsid w:val="00DB7DEF"/>
    <w:rsid w:val="00DC30EB"/>
    <w:rsid w:val="00DD0C0D"/>
    <w:rsid w:val="00DD54A6"/>
    <w:rsid w:val="00DE132D"/>
    <w:rsid w:val="00DE3D21"/>
    <w:rsid w:val="00DE71DC"/>
    <w:rsid w:val="00DF0043"/>
    <w:rsid w:val="00DF1BEF"/>
    <w:rsid w:val="00DF205D"/>
    <w:rsid w:val="00E02E55"/>
    <w:rsid w:val="00E04647"/>
    <w:rsid w:val="00E104AB"/>
    <w:rsid w:val="00E1065A"/>
    <w:rsid w:val="00E1124F"/>
    <w:rsid w:val="00E13666"/>
    <w:rsid w:val="00E17EFD"/>
    <w:rsid w:val="00E25256"/>
    <w:rsid w:val="00E306BE"/>
    <w:rsid w:val="00E42D03"/>
    <w:rsid w:val="00E5358E"/>
    <w:rsid w:val="00E55FD6"/>
    <w:rsid w:val="00E62C32"/>
    <w:rsid w:val="00E62DBF"/>
    <w:rsid w:val="00E63AE7"/>
    <w:rsid w:val="00E66941"/>
    <w:rsid w:val="00E66BB9"/>
    <w:rsid w:val="00E77173"/>
    <w:rsid w:val="00E77D1B"/>
    <w:rsid w:val="00E83453"/>
    <w:rsid w:val="00E9096F"/>
    <w:rsid w:val="00E9356E"/>
    <w:rsid w:val="00E95738"/>
    <w:rsid w:val="00E96468"/>
    <w:rsid w:val="00E96B51"/>
    <w:rsid w:val="00EA1DC2"/>
    <w:rsid w:val="00EA24F3"/>
    <w:rsid w:val="00EA5211"/>
    <w:rsid w:val="00EA5A7C"/>
    <w:rsid w:val="00EB326A"/>
    <w:rsid w:val="00EC3ADF"/>
    <w:rsid w:val="00EC4064"/>
    <w:rsid w:val="00EC7FAF"/>
    <w:rsid w:val="00ED396C"/>
    <w:rsid w:val="00EE0CF6"/>
    <w:rsid w:val="00EE7544"/>
    <w:rsid w:val="00EF2C16"/>
    <w:rsid w:val="00EF4A2D"/>
    <w:rsid w:val="00F00DF2"/>
    <w:rsid w:val="00F01A04"/>
    <w:rsid w:val="00F06C5C"/>
    <w:rsid w:val="00F10083"/>
    <w:rsid w:val="00F103F3"/>
    <w:rsid w:val="00F12318"/>
    <w:rsid w:val="00F244FB"/>
    <w:rsid w:val="00F24948"/>
    <w:rsid w:val="00F25A85"/>
    <w:rsid w:val="00F27E49"/>
    <w:rsid w:val="00F348A4"/>
    <w:rsid w:val="00F36626"/>
    <w:rsid w:val="00F3794D"/>
    <w:rsid w:val="00F40735"/>
    <w:rsid w:val="00F44E3B"/>
    <w:rsid w:val="00F47976"/>
    <w:rsid w:val="00F55569"/>
    <w:rsid w:val="00F57E87"/>
    <w:rsid w:val="00F60768"/>
    <w:rsid w:val="00F664C1"/>
    <w:rsid w:val="00F66EA8"/>
    <w:rsid w:val="00F82F97"/>
    <w:rsid w:val="00F969C9"/>
    <w:rsid w:val="00FA60AC"/>
    <w:rsid w:val="00FB0B64"/>
    <w:rsid w:val="00FB3629"/>
    <w:rsid w:val="00FB6F5C"/>
    <w:rsid w:val="00FC0387"/>
    <w:rsid w:val="00FC3A5E"/>
    <w:rsid w:val="00FC4C61"/>
    <w:rsid w:val="00FE163D"/>
    <w:rsid w:val="00FE26B1"/>
    <w:rsid w:val="00FE551E"/>
    <w:rsid w:val="00FE6538"/>
    <w:rsid w:val="00FE7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F295"/>
  <w15:chartTrackingRefBased/>
  <w15:docId w15:val="{873EB298-C668-4208-9DD3-CE2FB542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DC"/>
  </w:style>
  <w:style w:type="paragraph" w:styleId="Heading1">
    <w:name w:val="heading 1"/>
    <w:basedOn w:val="Normal"/>
    <w:next w:val="Normal"/>
    <w:link w:val="Heading1Char"/>
    <w:uiPriority w:val="1"/>
    <w:qFormat/>
    <w:rsid w:val="00146F9C"/>
    <w:pPr>
      <w:keepNext/>
      <w:spacing w:after="0" w:line="240" w:lineRule="auto"/>
      <w:jc w:val="right"/>
      <w:outlineLvl w:val="0"/>
    </w:pPr>
    <w:rPr>
      <w:rFonts w:ascii="VNI-Times" w:eastAsia="Times New Roman" w:hAnsi="VNI-Times" w:cs="Times New Roman"/>
      <w:i/>
      <w:color w:val="000000"/>
      <w:sz w:val="24"/>
      <w:szCs w:val="20"/>
      <w:lang w:eastAsia="ja-JP"/>
    </w:rPr>
  </w:style>
  <w:style w:type="paragraph" w:styleId="Heading2">
    <w:name w:val="heading 2"/>
    <w:basedOn w:val="Normal"/>
    <w:next w:val="Normal"/>
    <w:link w:val="Heading2Char"/>
    <w:uiPriority w:val="1"/>
    <w:unhideWhenUsed/>
    <w:qFormat/>
    <w:rsid w:val="008644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185F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0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6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0AC"/>
    <w:rPr>
      <w:rFonts w:ascii="Segoe UI" w:hAnsi="Segoe UI" w:cs="Segoe UI"/>
      <w:sz w:val="18"/>
      <w:szCs w:val="18"/>
    </w:rPr>
  </w:style>
  <w:style w:type="paragraph" w:styleId="ListParagraph">
    <w:name w:val="List Paragraph"/>
    <w:basedOn w:val="Normal"/>
    <w:qFormat/>
    <w:rsid w:val="00B25728"/>
    <w:pPr>
      <w:ind w:left="720"/>
      <w:contextualSpacing/>
    </w:pPr>
  </w:style>
  <w:style w:type="character" w:styleId="Hyperlink">
    <w:name w:val="Hyperlink"/>
    <w:basedOn w:val="DefaultParagraphFont"/>
    <w:uiPriority w:val="99"/>
    <w:unhideWhenUsed/>
    <w:rsid w:val="0009691D"/>
    <w:rPr>
      <w:color w:val="0563C1" w:themeColor="hyperlink"/>
      <w:u w:val="single"/>
    </w:rPr>
  </w:style>
  <w:style w:type="character" w:styleId="CommentReference">
    <w:name w:val="annotation reference"/>
    <w:basedOn w:val="DefaultParagraphFont"/>
    <w:uiPriority w:val="99"/>
    <w:semiHidden/>
    <w:unhideWhenUsed/>
    <w:rsid w:val="00B80005"/>
    <w:rPr>
      <w:sz w:val="16"/>
      <w:szCs w:val="16"/>
    </w:rPr>
  </w:style>
  <w:style w:type="paragraph" w:styleId="CommentText">
    <w:name w:val="annotation text"/>
    <w:basedOn w:val="Normal"/>
    <w:link w:val="CommentTextChar"/>
    <w:uiPriority w:val="99"/>
    <w:semiHidden/>
    <w:unhideWhenUsed/>
    <w:rsid w:val="00B80005"/>
    <w:pPr>
      <w:spacing w:line="240" w:lineRule="auto"/>
    </w:pPr>
    <w:rPr>
      <w:sz w:val="20"/>
      <w:szCs w:val="20"/>
    </w:rPr>
  </w:style>
  <w:style w:type="character" w:customStyle="1" w:styleId="CommentTextChar">
    <w:name w:val="Comment Text Char"/>
    <w:basedOn w:val="DefaultParagraphFont"/>
    <w:link w:val="CommentText"/>
    <w:uiPriority w:val="99"/>
    <w:semiHidden/>
    <w:rsid w:val="00B80005"/>
    <w:rPr>
      <w:sz w:val="20"/>
      <w:szCs w:val="20"/>
    </w:rPr>
  </w:style>
  <w:style w:type="paragraph" w:styleId="CommentSubject">
    <w:name w:val="annotation subject"/>
    <w:basedOn w:val="CommentText"/>
    <w:next w:val="CommentText"/>
    <w:link w:val="CommentSubjectChar"/>
    <w:uiPriority w:val="99"/>
    <w:semiHidden/>
    <w:unhideWhenUsed/>
    <w:rsid w:val="00B80005"/>
    <w:rPr>
      <w:b/>
      <w:bCs/>
    </w:rPr>
  </w:style>
  <w:style w:type="character" w:customStyle="1" w:styleId="CommentSubjectChar">
    <w:name w:val="Comment Subject Char"/>
    <w:basedOn w:val="CommentTextChar"/>
    <w:link w:val="CommentSubject"/>
    <w:uiPriority w:val="99"/>
    <w:semiHidden/>
    <w:rsid w:val="00B80005"/>
    <w:rPr>
      <w:b/>
      <w:bCs/>
      <w:sz w:val="20"/>
      <w:szCs w:val="20"/>
    </w:rPr>
  </w:style>
  <w:style w:type="character" w:customStyle="1" w:styleId="Heading1Char">
    <w:name w:val="Heading 1 Char"/>
    <w:basedOn w:val="DefaultParagraphFont"/>
    <w:link w:val="Heading1"/>
    <w:uiPriority w:val="1"/>
    <w:rsid w:val="00146F9C"/>
    <w:rPr>
      <w:rFonts w:ascii="VNI-Times" w:eastAsia="Times New Roman" w:hAnsi="VNI-Times" w:cs="Times New Roman"/>
      <w:i/>
      <w:color w:val="000000"/>
      <w:sz w:val="24"/>
      <w:szCs w:val="20"/>
      <w:lang w:eastAsia="ja-JP"/>
    </w:rPr>
  </w:style>
  <w:style w:type="paragraph" w:styleId="Header">
    <w:name w:val="header"/>
    <w:basedOn w:val="Normal"/>
    <w:link w:val="HeaderChar"/>
    <w:uiPriority w:val="99"/>
    <w:unhideWhenUsed/>
    <w:rsid w:val="00534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77C"/>
  </w:style>
  <w:style w:type="paragraph" w:styleId="Footer">
    <w:name w:val="footer"/>
    <w:basedOn w:val="Normal"/>
    <w:link w:val="FooterChar"/>
    <w:uiPriority w:val="99"/>
    <w:unhideWhenUsed/>
    <w:rsid w:val="00534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77C"/>
  </w:style>
  <w:style w:type="paragraph" w:styleId="FootnoteText">
    <w:name w:val="footnote text"/>
    <w:basedOn w:val="Normal"/>
    <w:link w:val="FootnoteTextChar"/>
    <w:rsid w:val="00C0315F"/>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C0315F"/>
    <w:rPr>
      <w:rFonts w:ascii="Arial" w:eastAsia="Times New Roman" w:hAnsi="Arial" w:cs="Times New Roman"/>
      <w:sz w:val="20"/>
      <w:szCs w:val="20"/>
    </w:rPr>
  </w:style>
  <w:style w:type="character" w:styleId="FootnoteReference">
    <w:name w:val="footnote reference"/>
    <w:rsid w:val="00C0315F"/>
    <w:rPr>
      <w:vertAlign w:val="superscript"/>
    </w:rPr>
  </w:style>
  <w:style w:type="character" w:customStyle="1" w:styleId="Heading2Char">
    <w:name w:val="Heading 2 Char"/>
    <w:basedOn w:val="DefaultParagraphFont"/>
    <w:link w:val="Heading2"/>
    <w:uiPriority w:val="1"/>
    <w:rsid w:val="008644F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185F8C"/>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5F8C"/>
    <w:pPr>
      <w:widowControl w:val="0"/>
      <w:autoSpaceDE w:val="0"/>
      <w:autoSpaceDN w:val="0"/>
      <w:spacing w:after="0" w:line="240" w:lineRule="auto"/>
    </w:pPr>
    <w:rPr>
      <w:rFonts w:eastAsia="Times New Roman" w:cs="Times New Roman"/>
      <w:sz w:val="22"/>
      <w:lang w:val="vi"/>
    </w:rPr>
  </w:style>
  <w:style w:type="character" w:customStyle="1" w:styleId="BodyTextChar">
    <w:name w:val="Body Text Char"/>
    <w:basedOn w:val="DefaultParagraphFont"/>
    <w:link w:val="BodyText"/>
    <w:uiPriority w:val="1"/>
    <w:rsid w:val="00185F8C"/>
    <w:rPr>
      <w:rFonts w:eastAsia="Times New Roman" w:cs="Times New Roman"/>
      <w:sz w:val="22"/>
      <w:lang w:val="vi"/>
    </w:rPr>
  </w:style>
  <w:style w:type="paragraph" w:customStyle="1" w:styleId="TableParagraph">
    <w:name w:val="Table Paragraph"/>
    <w:basedOn w:val="Normal"/>
    <w:uiPriority w:val="1"/>
    <w:qFormat/>
    <w:rsid w:val="00C33A93"/>
    <w:pPr>
      <w:widowControl w:val="0"/>
      <w:autoSpaceDE w:val="0"/>
      <w:autoSpaceDN w:val="0"/>
      <w:spacing w:after="0" w:line="240" w:lineRule="auto"/>
    </w:pPr>
    <w:rPr>
      <w:rFonts w:eastAsia="Times New Roman" w:cs="Times New Roman"/>
      <w:sz w:val="22"/>
      <w:lang w:val="vi"/>
    </w:rPr>
  </w:style>
  <w:style w:type="paragraph" w:customStyle="1" w:styleId="pdq2pgselectionanchorcontainer">
    <w:name w:val="pdq2pg_selectionanchorcontainer"/>
    <w:basedOn w:val="Normal"/>
    <w:rsid w:val="0037346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7346C"/>
    <w:rPr>
      <w:b/>
      <w:bCs/>
    </w:rPr>
  </w:style>
  <w:style w:type="paragraph" w:styleId="NormalWeb">
    <w:name w:val="Normal (Web)"/>
    <w:basedOn w:val="Normal"/>
    <w:uiPriority w:val="99"/>
    <w:unhideWhenUsed/>
    <w:rsid w:val="0037346C"/>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FE551E"/>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803">
      <w:bodyDiv w:val="1"/>
      <w:marLeft w:val="0"/>
      <w:marRight w:val="0"/>
      <w:marTop w:val="0"/>
      <w:marBottom w:val="0"/>
      <w:divBdr>
        <w:top w:val="none" w:sz="0" w:space="0" w:color="auto"/>
        <w:left w:val="none" w:sz="0" w:space="0" w:color="auto"/>
        <w:bottom w:val="none" w:sz="0" w:space="0" w:color="auto"/>
        <w:right w:val="none" w:sz="0" w:space="0" w:color="auto"/>
      </w:divBdr>
    </w:div>
    <w:div w:id="172692445">
      <w:bodyDiv w:val="1"/>
      <w:marLeft w:val="0"/>
      <w:marRight w:val="0"/>
      <w:marTop w:val="0"/>
      <w:marBottom w:val="0"/>
      <w:divBdr>
        <w:top w:val="none" w:sz="0" w:space="0" w:color="auto"/>
        <w:left w:val="none" w:sz="0" w:space="0" w:color="auto"/>
        <w:bottom w:val="none" w:sz="0" w:space="0" w:color="auto"/>
        <w:right w:val="none" w:sz="0" w:space="0" w:color="auto"/>
      </w:divBdr>
    </w:div>
    <w:div w:id="181745819">
      <w:bodyDiv w:val="1"/>
      <w:marLeft w:val="0"/>
      <w:marRight w:val="0"/>
      <w:marTop w:val="0"/>
      <w:marBottom w:val="0"/>
      <w:divBdr>
        <w:top w:val="none" w:sz="0" w:space="0" w:color="auto"/>
        <w:left w:val="none" w:sz="0" w:space="0" w:color="auto"/>
        <w:bottom w:val="none" w:sz="0" w:space="0" w:color="auto"/>
        <w:right w:val="none" w:sz="0" w:space="0" w:color="auto"/>
      </w:divBdr>
    </w:div>
    <w:div w:id="193200464">
      <w:bodyDiv w:val="1"/>
      <w:marLeft w:val="0"/>
      <w:marRight w:val="0"/>
      <w:marTop w:val="0"/>
      <w:marBottom w:val="0"/>
      <w:divBdr>
        <w:top w:val="none" w:sz="0" w:space="0" w:color="auto"/>
        <w:left w:val="none" w:sz="0" w:space="0" w:color="auto"/>
        <w:bottom w:val="none" w:sz="0" w:space="0" w:color="auto"/>
        <w:right w:val="none" w:sz="0" w:space="0" w:color="auto"/>
      </w:divBdr>
    </w:div>
    <w:div w:id="256377205">
      <w:bodyDiv w:val="1"/>
      <w:marLeft w:val="0"/>
      <w:marRight w:val="0"/>
      <w:marTop w:val="0"/>
      <w:marBottom w:val="0"/>
      <w:divBdr>
        <w:top w:val="none" w:sz="0" w:space="0" w:color="auto"/>
        <w:left w:val="none" w:sz="0" w:space="0" w:color="auto"/>
        <w:bottom w:val="none" w:sz="0" w:space="0" w:color="auto"/>
        <w:right w:val="none" w:sz="0" w:space="0" w:color="auto"/>
      </w:divBdr>
    </w:div>
    <w:div w:id="382488429">
      <w:bodyDiv w:val="1"/>
      <w:marLeft w:val="0"/>
      <w:marRight w:val="0"/>
      <w:marTop w:val="0"/>
      <w:marBottom w:val="0"/>
      <w:divBdr>
        <w:top w:val="none" w:sz="0" w:space="0" w:color="auto"/>
        <w:left w:val="none" w:sz="0" w:space="0" w:color="auto"/>
        <w:bottom w:val="none" w:sz="0" w:space="0" w:color="auto"/>
        <w:right w:val="none" w:sz="0" w:space="0" w:color="auto"/>
      </w:divBdr>
    </w:div>
    <w:div w:id="525214199">
      <w:bodyDiv w:val="1"/>
      <w:marLeft w:val="0"/>
      <w:marRight w:val="0"/>
      <w:marTop w:val="0"/>
      <w:marBottom w:val="0"/>
      <w:divBdr>
        <w:top w:val="none" w:sz="0" w:space="0" w:color="auto"/>
        <w:left w:val="none" w:sz="0" w:space="0" w:color="auto"/>
        <w:bottom w:val="none" w:sz="0" w:space="0" w:color="auto"/>
        <w:right w:val="none" w:sz="0" w:space="0" w:color="auto"/>
      </w:divBdr>
    </w:div>
    <w:div w:id="611476427">
      <w:bodyDiv w:val="1"/>
      <w:marLeft w:val="0"/>
      <w:marRight w:val="0"/>
      <w:marTop w:val="0"/>
      <w:marBottom w:val="0"/>
      <w:divBdr>
        <w:top w:val="none" w:sz="0" w:space="0" w:color="auto"/>
        <w:left w:val="none" w:sz="0" w:space="0" w:color="auto"/>
        <w:bottom w:val="none" w:sz="0" w:space="0" w:color="auto"/>
        <w:right w:val="none" w:sz="0" w:space="0" w:color="auto"/>
      </w:divBdr>
    </w:div>
    <w:div w:id="628437146">
      <w:bodyDiv w:val="1"/>
      <w:marLeft w:val="0"/>
      <w:marRight w:val="0"/>
      <w:marTop w:val="0"/>
      <w:marBottom w:val="0"/>
      <w:divBdr>
        <w:top w:val="none" w:sz="0" w:space="0" w:color="auto"/>
        <w:left w:val="none" w:sz="0" w:space="0" w:color="auto"/>
        <w:bottom w:val="none" w:sz="0" w:space="0" w:color="auto"/>
        <w:right w:val="none" w:sz="0" w:space="0" w:color="auto"/>
      </w:divBdr>
    </w:div>
    <w:div w:id="685443672">
      <w:bodyDiv w:val="1"/>
      <w:marLeft w:val="0"/>
      <w:marRight w:val="0"/>
      <w:marTop w:val="0"/>
      <w:marBottom w:val="0"/>
      <w:divBdr>
        <w:top w:val="none" w:sz="0" w:space="0" w:color="auto"/>
        <w:left w:val="none" w:sz="0" w:space="0" w:color="auto"/>
        <w:bottom w:val="none" w:sz="0" w:space="0" w:color="auto"/>
        <w:right w:val="none" w:sz="0" w:space="0" w:color="auto"/>
      </w:divBdr>
    </w:div>
    <w:div w:id="729308989">
      <w:bodyDiv w:val="1"/>
      <w:marLeft w:val="0"/>
      <w:marRight w:val="0"/>
      <w:marTop w:val="0"/>
      <w:marBottom w:val="0"/>
      <w:divBdr>
        <w:top w:val="none" w:sz="0" w:space="0" w:color="auto"/>
        <w:left w:val="none" w:sz="0" w:space="0" w:color="auto"/>
        <w:bottom w:val="none" w:sz="0" w:space="0" w:color="auto"/>
        <w:right w:val="none" w:sz="0" w:space="0" w:color="auto"/>
      </w:divBdr>
    </w:div>
    <w:div w:id="788625311">
      <w:bodyDiv w:val="1"/>
      <w:marLeft w:val="0"/>
      <w:marRight w:val="0"/>
      <w:marTop w:val="0"/>
      <w:marBottom w:val="0"/>
      <w:divBdr>
        <w:top w:val="none" w:sz="0" w:space="0" w:color="auto"/>
        <w:left w:val="none" w:sz="0" w:space="0" w:color="auto"/>
        <w:bottom w:val="none" w:sz="0" w:space="0" w:color="auto"/>
        <w:right w:val="none" w:sz="0" w:space="0" w:color="auto"/>
      </w:divBdr>
    </w:div>
    <w:div w:id="888152317">
      <w:bodyDiv w:val="1"/>
      <w:marLeft w:val="0"/>
      <w:marRight w:val="0"/>
      <w:marTop w:val="0"/>
      <w:marBottom w:val="0"/>
      <w:divBdr>
        <w:top w:val="none" w:sz="0" w:space="0" w:color="auto"/>
        <w:left w:val="none" w:sz="0" w:space="0" w:color="auto"/>
        <w:bottom w:val="none" w:sz="0" w:space="0" w:color="auto"/>
        <w:right w:val="none" w:sz="0" w:space="0" w:color="auto"/>
      </w:divBdr>
      <w:divsChild>
        <w:div w:id="2083790825">
          <w:marLeft w:val="0"/>
          <w:marRight w:val="0"/>
          <w:marTop w:val="0"/>
          <w:marBottom w:val="0"/>
          <w:divBdr>
            <w:top w:val="none" w:sz="0" w:space="0" w:color="auto"/>
            <w:left w:val="none" w:sz="0" w:space="0" w:color="auto"/>
            <w:bottom w:val="none" w:sz="0" w:space="0" w:color="auto"/>
            <w:right w:val="none" w:sz="0" w:space="0" w:color="auto"/>
          </w:divBdr>
          <w:divsChild>
            <w:div w:id="1824396486">
              <w:marLeft w:val="0"/>
              <w:marRight w:val="0"/>
              <w:marTop w:val="0"/>
              <w:marBottom w:val="0"/>
              <w:divBdr>
                <w:top w:val="single" w:sz="12" w:space="1" w:color="0B57D0"/>
                <w:left w:val="single" w:sz="12" w:space="5" w:color="0B57D0"/>
                <w:bottom w:val="single" w:sz="12" w:space="1" w:color="0B57D0"/>
                <w:right w:val="single" w:sz="12" w:space="5" w:color="0B57D0"/>
              </w:divBdr>
              <w:divsChild>
                <w:div w:id="15932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14057">
      <w:bodyDiv w:val="1"/>
      <w:marLeft w:val="0"/>
      <w:marRight w:val="0"/>
      <w:marTop w:val="0"/>
      <w:marBottom w:val="0"/>
      <w:divBdr>
        <w:top w:val="none" w:sz="0" w:space="0" w:color="auto"/>
        <w:left w:val="none" w:sz="0" w:space="0" w:color="auto"/>
        <w:bottom w:val="none" w:sz="0" w:space="0" w:color="auto"/>
        <w:right w:val="none" w:sz="0" w:space="0" w:color="auto"/>
      </w:divBdr>
    </w:div>
    <w:div w:id="1001617816">
      <w:bodyDiv w:val="1"/>
      <w:marLeft w:val="0"/>
      <w:marRight w:val="0"/>
      <w:marTop w:val="0"/>
      <w:marBottom w:val="0"/>
      <w:divBdr>
        <w:top w:val="none" w:sz="0" w:space="0" w:color="auto"/>
        <w:left w:val="none" w:sz="0" w:space="0" w:color="auto"/>
        <w:bottom w:val="none" w:sz="0" w:space="0" w:color="auto"/>
        <w:right w:val="none" w:sz="0" w:space="0" w:color="auto"/>
      </w:divBdr>
      <w:divsChild>
        <w:div w:id="2010013910">
          <w:marLeft w:val="0"/>
          <w:marRight w:val="0"/>
          <w:marTop w:val="0"/>
          <w:marBottom w:val="0"/>
          <w:divBdr>
            <w:top w:val="none" w:sz="0" w:space="0" w:color="auto"/>
            <w:left w:val="none" w:sz="0" w:space="0" w:color="auto"/>
            <w:bottom w:val="none" w:sz="0" w:space="0" w:color="auto"/>
            <w:right w:val="none" w:sz="0" w:space="0" w:color="auto"/>
          </w:divBdr>
          <w:divsChild>
            <w:div w:id="1224020489">
              <w:marLeft w:val="0"/>
              <w:marRight w:val="0"/>
              <w:marTop w:val="0"/>
              <w:marBottom w:val="0"/>
              <w:divBdr>
                <w:top w:val="none" w:sz="0" w:space="0" w:color="auto"/>
                <w:left w:val="none" w:sz="0" w:space="0" w:color="auto"/>
                <w:bottom w:val="none" w:sz="0" w:space="0" w:color="auto"/>
                <w:right w:val="none" w:sz="0" w:space="0" w:color="auto"/>
              </w:divBdr>
              <w:divsChild>
                <w:div w:id="23871461">
                  <w:marLeft w:val="0"/>
                  <w:marRight w:val="0"/>
                  <w:marTop w:val="0"/>
                  <w:marBottom w:val="0"/>
                  <w:divBdr>
                    <w:top w:val="none" w:sz="0" w:space="0" w:color="auto"/>
                    <w:left w:val="none" w:sz="0" w:space="0" w:color="auto"/>
                    <w:bottom w:val="none" w:sz="0" w:space="0" w:color="auto"/>
                    <w:right w:val="none" w:sz="0" w:space="0" w:color="auto"/>
                  </w:divBdr>
                  <w:divsChild>
                    <w:div w:id="1897887706">
                      <w:marLeft w:val="0"/>
                      <w:marRight w:val="-105"/>
                      <w:marTop w:val="0"/>
                      <w:marBottom w:val="0"/>
                      <w:divBdr>
                        <w:top w:val="none" w:sz="0" w:space="0" w:color="auto"/>
                        <w:left w:val="none" w:sz="0" w:space="0" w:color="auto"/>
                        <w:bottom w:val="none" w:sz="0" w:space="0" w:color="auto"/>
                        <w:right w:val="none" w:sz="0" w:space="0" w:color="auto"/>
                      </w:divBdr>
                      <w:divsChild>
                        <w:div w:id="1491166855">
                          <w:marLeft w:val="0"/>
                          <w:marRight w:val="0"/>
                          <w:marTop w:val="0"/>
                          <w:marBottom w:val="0"/>
                          <w:divBdr>
                            <w:top w:val="none" w:sz="0" w:space="0" w:color="auto"/>
                            <w:left w:val="none" w:sz="0" w:space="0" w:color="auto"/>
                            <w:bottom w:val="none" w:sz="0" w:space="0" w:color="auto"/>
                            <w:right w:val="none" w:sz="0" w:space="0" w:color="auto"/>
                          </w:divBdr>
                          <w:divsChild>
                            <w:div w:id="1716470778">
                              <w:marLeft w:val="0"/>
                              <w:marRight w:val="0"/>
                              <w:marTop w:val="0"/>
                              <w:marBottom w:val="0"/>
                              <w:divBdr>
                                <w:top w:val="none" w:sz="0" w:space="0" w:color="auto"/>
                                <w:left w:val="none" w:sz="0" w:space="0" w:color="auto"/>
                                <w:bottom w:val="none" w:sz="0" w:space="0" w:color="auto"/>
                                <w:right w:val="none" w:sz="0" w:space="0" w:color="auto"/>
                              </w:divBdr>
                              <w:divsChild>
                                <w:div w:id="1374227726">
                                  <w:marLeft w:val="0"/>
                                  <w:marRight w:val="0"/>
                                  <w:marTop w:val="0"/>
                                  <w:marBottom w:val="0"/>
                                  <w:divBdr>
                                    <w:top w:val="none" w:sz="0" w:space="0" w:color="auto"/>
                                    <w:left w:val="none" w:sz="0" w:space="0" w:color="auto"/>
                                    <w:bottom w:val="none" w:sz="0" w:space="0" w:color="auto"/>
                                    <w:right w:val="none" w:sz="0" w:space="0" w:color="auto"/>
                                  </w:divBdr>
                                  <w:divsChild>
                                    <w:div w:id="1513573126">
                                      <w:marLeft w:val="750"/>
                                      <w:marRight w:val="0"/>
                                      <w:marTop w:val="0"/>
                                      <w:marBottom w:val="0"/>
                                      <w:divBdr>
                                        <w:top w:val="none" w:sz="0" w:space="0" w:color="auto"/>
                                        <w:left w:val="none" w:sz="0" w:space="0" w:color="auto"/>
                                        <w:bottom w:val="none" w:sz="0" w:space="0" w:color="auto"/>
                                        <w:right w:val="none" w:sz="0" w:space="0" w:color="auto"/>
                                      </w:divBdr>
                                      <w:divsChild>
                                        <w:div w:id="886382543">
                                          <w:marLeft w:val="0"/>
                                          <w:marRight w:val="0"/>
                                          <w:marTop w:val="0"/>
                                          <w:marBottom w:val="0"/>
                                          <w:divBdr>
                                            <w:top w:val="none" w:sz="0" w:space="0" w:color="auto"/>
                                            <w:left w:val="none" w:sz="0" w:space="0" w:color="auto"/>
                                            <w:bottom w:val="none" w:sz="0" w:space="0" w:color="auto"/>
                                            <w:right w:val="none" w:sz="0" w:space="0" w:color="auto"/>
                                          </w:divBdr>
                                          <w:divsChild>
                                            <w:div w:id="775833880">
                                              <w:marLeft w:val="0"/>
                                              <w:marRight w:val="0"/>
                                              <w:marTop w:val="0"/>
                                              <w:marBottom w:val="0"/>
                                              <w:divBdr>
                                                <w:top w:val="none" w:sz="0" w:space="0" w:color="auto"/>
                                                <w:left w:val="none" w:sz="0" w:space="0" w:color="auto"/>
                                                <w:bottom w:val="none" w:sz="0" w:space="0" w:color="auto"/>
                                                <w:right w:val="none" w:sz="0" w:space="0" w:color="auto"/>
                                              </w:divBdr>
                                              <w:divsChild>
                                                <w:div w:id="422455777">
                                                  <w:marLeft w:val="0"/>
                                                  <w:marRight w:val="0"/>
                                                  <w:marTop w:val="0"/>
                                                  <w:marBottom w:val="0"/>
                                                  <w:divBdr>
                                                    <w:top w:val="none" w:sz="0" w:space="0" w:color="auto"/>
                                                    <w:left w:val="none" w:sz="0" w:space="0" w:color="auto"/>
                                                    <w:bottom w:val="none" w:sz="0" w:space="0" w:color="auto"/>
                                                    <w:right w:val="none" w:sz="0" w:space="0" w:color="auto"/>
                                                  </w:divBdr>
                                                  <w:divsChild>
                                                    <w:div w:id="252207141">
                                                      <w:marLeft w:val="0"/>
                                                      <w:marRight w:val="0"/>
                                                      <w:marTop w:val="0"/>
                                                      <w:marBottom w:val="0"/>
                                                      <w:divBdr>
                                                        <w:top w:val="none" w:sz="0" w:space="0" w:color="auto"/>
                                                        <w:left w:val="none" w:sz="0" w:space="0" w:color="auto"/>
                                                        <w:bottom w:val="none" w:sz="0" w:space="0" w:color="auto"/>
                                                        <w:right w:val="none" w:sz="0" w:space="0" w:color="auto"/>
                                                      </w:divBdr>
                                                      <w:divsChild>
                                                        <w:div w:id="709574290">
                                                          <w:marLeft w:val="0"/>
                                                          <w:marRight w:val="0"/>
                                                          <w:marTop w:val="0"/>
                                                          <w:marBottom w:val="0"/>
                                                          <w:divBdr>
                                                            <w:top w:val="none" w:sz="0" w:space="0" w:color="auto"/>
                                                            <w:left w:val="none" w:sz="0" w:space="0" w:color="auto"/>
                                                            <w:bottom w:val="none" w:sz="0" w:space="0" w:color="auto"/>
                                                            <w:right w:val="none" w:sz="0" w:space="0" w:color="auto"/>
                                                          </w:divBdr>
                                                          <w:divsChild>
                                                            <w:div w:id="956714511">
                                                              <w:marLeft w:val="0"/>
                                                              <w:marRight w:val="0"/>
                                                              <w:marTop w:val="0"/>
                                                              <w:marBottom w:val="0"/>
                                                              <w:divBdr>
                                                                <w:top w:val="none" w:sz="0" w:space="0" w:color="auto"/>
                                                                <w:left w:val="none" w:sz="0" w:space="0" w:color="auto"/>
                                                                <w:bottom w:val="none" w:sz="0" w:space="0" w:color="auto"/>
                                                                <w:right w:val="none" w:sz="0" w:space="0" w:color="auto"/>
                                                              </w:divBdr>
                                                              <w:divsChild>
                                                                <w:div w:id="743986258">
                                                                  <w:marLeft w:val="0"/>
                                                                  <w:marRight w:val="0"/>
                                                                  <w:marTop w:val="0"/>
                                                                  <w:marBottom w:val="0"/>
                                                                  <w:divBdr>
                                                                    <w:top w:val="none" w:sz="0" w:space="0" w:color="auto"/>
                                                                    <w:left w:val="none" w:sz="0" w:space="0" w:color="auto"/>
                                                                    <w:bottom w:val="none" w:sz="0" w:space="0" w:color="auto"/>
                                                                    <w:right w:val="none" w:sz="0" w:space="0" w:color="auto"/>
                                                                  </w:divBdr>
                                                                  <w:divsChild>
                                                                    <w:div w:id="768159101">
                                                                      <w:marLeft w:val="0"/>
                                                                      <w:marRight w:val="0"/>
                                                                      <w:marTop w:val="0"/>
                                                                      <w:marBottom w:val="0"/>
                                                                      <w:divBdr>
                                                                        <w:top w:val="none" w:sz="0" w:space="0" w:color="auto"/>
                                                                        <w:left w:val="none" w:sz="0" w:space="0" w:color="auto"/>
                                                                        <w:bottom w:val="none" w:sz="0" w:space="0" w:color="auto"/>
                                                                        <w:right w:val="none" w:sz="0" w:space="0" w:color="auto"/>
                                                                      </w:divBdr>
                                                                      <w:divsChild>
                                                                        <w:div w:id="687827897">
                                                                          <w:marLeft w:val="0"/>
                                                                          <w:marRight w:val="0"/>
                                                                          <w:marTop w:val="0"/>
                                                                          <w:marBottom w:val="0"/>
                                                                          <w:divBdr>
                                                                            <w:top w:val="none" w:sz="0" w:space="0" w:color="auto"/>
                                                                            <w:left w:val="none" w:sz="0" w:space="0" w:color="auto"/>
                                                                            <w:bottom w:val="none" w:sz="0" w:space="0" w:color="auto"/>
                                                                            <w:right w:val="none" w:sz="0" w:space="0" w:color="auto"/>
                                                                          </w:divBdr>
                                                                          <w:divsChild>
                                                                            <w:div w:id="8431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79144">
                                                                  <w:marLeft w:val="0"/>
                                                                  <w:marRight w:val="0"/>
                                                                  <w:marTop w:val="60"/>
                                                                  <w:marBottom w:val="0"/>
                                                                  <w:divBdr>
                                                                    <w:top w:val="none" w:sz="0" w:space="0" w:color="auto"/>
                                                                    <w:left w:val="none" w:sz="0" w:space="0" w:color="auto"/>
                                                                    <w:bottom w:val="none" w:sz="0" w:space="0" w:color="auto"/>
                                                                    <w:right w:val="none" w:sz="0" w:space="0" w:color="auto"/>
                                                                  </w:divBdr>
                                                                </w:div>
                                                                <w:div w:id="2058896243">
                                                                  <w:marLeft w:val="0"/>
                                                                  <w:marRight w:val="0"/>
                                                                  <w:marTop w:val="0"/>
                                                                  <w:marBottom w:val="0"/>
                                                                  <w:divBdr>
                                                                    <w:top w:val="none" w:sz="0" w:space="0" w:color="auto"/>
                                                                    <w:left w:val="none" w:sz="0" w:space="0" w:color="auto"/>
                                                                    <w:bottom w:val="none" w:sz="0" w:space="0" w:color="auto"/>
                                                                    <w:right w:val="none" w:sz="0" w:space="0" w:color="auto"/>
                                                                  </w:divBdr>
                                                                  <w:divsChild>
                                                                    <w:div w:id="1745370146">
                                                                      <w:marLeft w:val="0"/>
                                                                      <w:marRight w:val="0"/>
                                                                      <w:marTop w:val="0"/>
                                                                      <w:marBottom w:val="0"/>
                                                                      <w:divBdr>
                                                                        <w:top w:val="none" w:sz="0" w:space="0" w:color="auto"/>
                                                                        <w:left w:val="none" w:sz="0" w:space="0" w:color="auto"/>
                                                                        <w:bottom w:val="none" w:sz="0" w:space="0" w:color="auto"/>
                                                                        <w:right w:val="none" w:sz="0" w:space="0" w:color="auto"/>
                                                                      </w:divBdr>
                                                                      <w:divsChild>
                                                                        <w:div w:id="1340474197">
                                                                          <w:marLeft w:val="0"/>
                                                                          <w:marRight w:val="0"/>
                                                                          <w:marTop w:val="0"/>
                                                                          <w:marBottom w:val="0"/>
                                                                          <w:divBdr>
                                                                            <w:top w:val="none" w:sz="0" w:space="0" w:color="auto"/>
                                                                            <w:left w:val="none" w:sz="0" w:space="0" w:color="auto"/>
                                                                            <w:bottom w:val="none" w:sz="0" w:space="0" w:color="auto"/>
                                                                            <w:right w:val="none" w:sz="0" w:space="0" w:color="auto"/>
                                                                          </w:divBdr>
                                                                          <w:divsChild>
                                                                            <w:div w:id="1261257314">
                                                                              <w:marLeft w:val="0"/>
                                                                              <w:marRight w:val="0"/>
                                                                              <w:marTop w:val="0"/>
                                                                              <w:marBottom w:val="0"/>
                                                                              <w:divBdr>
                                                                                <w:top w:val="none" w:sz="0" w:space="0" w:color="auto"/>
                                                                                <w:left w:val="none" w:sz="0" w:space="0" w:color="auto"/>
                                                                                <w:bottom w:val="none" w:sz="0" w:space="0" w:color="auto"/>
                                                                                <w:right w:val="none" w:sz="0" w:space="0" w:color="auto"/>
                                                                              </w:divBdr>
                                                                              <w:divsChild>
                                                                                <w:div w:id="2108231445">
                                                                                  <w:marLeft w:val="105"/>
                                                                                  <w:marRight w:val="105"/>
                                                                                  <w:marTop w:val="90"/>
                                                                                  <w:marBottom w:val="150"/>
                                                                                  <w:divBdr>
                                                                                    <w:top w:val="none" w:sz="0" w:space="0" w:color="auto"/>
                                                                                    <w:left w:val="none" w:sz="0" w:space="0" w:color="auto"/>
                                                                                    <w:bottom w:val="none" w:sz="0" w:space="0" w:color="auto"/>
                                                                                    <w:right w:val="none" w:sz="0" w:space="0" w:color="auto"/>
                                                                                  </w:divBdr>
                                                                                </w:div>
                                                                                <w:div w:id="383988453">
                                                                                  <w:marLeft w:val="105"/>
                                                                                  <w:marRight w:val="105"/>
                                                                                  <w:marTop w:val="90"/>
                                                                                  <w:marBottom w:val="150"/>
                                                                                  <w:divBdr>
                                                                                    <w:top w:val="none" w:sz="0" w:space="0" w:color="auto"/>
                                                                                    <w:left w:val="none" w:sz="0" w:space="0" w:color="auto"/>
                                                                                    <w:bottom w:val="none" w:sz="0" w:space="0" w:color="auto"/>
                                                                                    <w:right w:val="none" w:sz="0" w:space="0" w:color="auto"/>
                                                                                  </w:divBdr>
                                                                                </w:div>
                                                                                <w:div w:id="27295083">
                                                                                  <w:marLeft w:val="105"/>
                                                                                  <w:marRight w:val="105"/>
                                                                                  <w:marTop w:val="90"/>
                                                                                  <w:marBottom w:val="150"/>
                                                                                  <w:divBdr>
                                                                                    <w:top w:val="none" w:sz="0" w:space="0" w:color="auto"/>
                                                                                    <w:left w:val="none" w:sz="0" w:space="0" w:color="auto"/>
                                                                                    <w:bottom w:val="none" w:sz="0" w:space="0" w:color="auto"/>
                                                                                    <w:right w:val="none" w:sz="0" w:space="0" w:color="auto"/>
                                                                                  </w:divBdr>
                                                                                </w:div>
                                                                                <w:div w:id="319968038">
                                                                                  <w:marLeft w:val="105"/>
                                                                                  <w:marRight w:val="105"/>
                                                                                  <w:marTop w:val="90"/>
                                                                                  <w:marBottom w:val="150"/>
                                                                                  <w:divBdr>
                                                                                    <w:top w:val="none" w:sz="0" w:space="0" w:color="auto"/>
                                                                                    <w:left w:val="none" w:sz="0" w:space="0" w:color="auto"/>
                                                                                    <w:bottom w:val="none" w:sz="0" w:space="0" w:color="auto"/>
                                                                                    <w:right w:val="none" w:sz="0" w:space="0" w:color="auto"/>
                                                                                  </w:divBdr>
                                                                                </w:div>
                                                                                <w:div w:id="160970628">
                                                                                  <w:marLeft w:val="105"/>
                                                                                  <w:marRight w:val="105"/>
                                                                                  <w:marTop w:val="90"/>
                                                                                  <w:marBottom w:val="150"/>
                                                                                  <w:divBdr>
                                                                                    <w:top w:val="none" w:sz="0" w:space="0" w:color="auto"/>
                                                                                    <w:left w:val="none" w:sz="0" w:space="0" w:color="auto"/>
                                                                                    <w:bottom w:val="none" w:sz="0" w:space="0" w:color="auto"/>
                                                                                    <w:right w:val="none" w:sz="0" w:space="0" w:color="auto"/>
                                                                                  </w:divBdr>
                                                                                </w:div>
                                                                                <w:div w:id="131518052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339331">
          <w:marLeft w:val="0"/>
          <w:marRight w:val="0"/>
          <w:marTop w:val="0"/>
          <w:marBottom w:val="0"/>
          <w:divBdr>
            <w:top w:val="none" w:sz="0" w:space="0" w:color="auto"/>
            <w:left w:val="none" w:sz="0" w:space="0" w:color="auto"/>
            <w:bottom w:val="none" w:sz="0" w:space="0" w:color="auto"/>
            <w:right w:val="none" w:sz="0" w:space="0" w:color="auto"/>
          </w:divBdr>
          <w:divsChild>
            <w:div w:id="1054307071">
              <w:marLeft w:val="0"/>
              <w:marRight w:val="0"/>
              <w:marTop w:val="0"/>
              <w:marBottom w:val="0"/>
              <w:divBdr>
                <w:top w:val="none" w:sz="0" w:space="0" w:color="auto"/>
                <w:left w:val="none" w:sz="0" w:space="0" w:color="auto"/>
                <w:bottom w:val="none" w:sz="0" w:space="0" w:color="auto"/>
                <w:right w:val="none" w:sz="0" w:space="0" w:color="auto"/>
              </w:divBdr>
              <w:divsChild>
                <w:div w:id="3919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7782">
      <w:bodyDiv w:val="1"/>
      <w:marLeft w:val="0"/>
      <w:marRight w:val="0"/>
      <w:marTop w:val="0"/>
      <w:marBottom w:val="0"/>
      <w:divBdr>
        <w:top w:val="none" w:sz="0" w:space="0" w:color="auto"/>
        <w:left w:val="none" w:sz="0" w:space="0" w:color="auto"/>
        <w:bottom w:val="none" w:sz="0" w:space="0" w:color="auto"/>
        <w:right w:val="none" w:sz="0" w:space="0" w:color="auto"/>
      </w:divBdr>
    </w:div>
    <w:div w:id="1087924734">
      <w:bodyDiv w:val="1"/>
      <w:marLeft w:val="0"/>
      <w:marRight w:val="0"/>
      <w:marTop w:val="0"/>
      <w:marBottom w:val="0"/>
      <w:divBdr>
        <w:top w:val="none" w:sz="0" w:space="0" w:color="auto"/>
        <w:left w:val="none" w:sz="0" w:space="0" w:color="auto"/>
        <w:bottom w:val="none" w:sz="0" w:space="0" w:color="auto"/>
        <w:right w:val="none" w:sz="0" w:space="0" w:color="auto"/>
      </w:divBdr>
    </w:div>
    <w:div w:id="1111783836">
      <w:bodyDiv w:val="1"/>
      <w:marLeft w:val="0"/>
      <w:marRight w:val="0"/>
      <w:marTop w:val="0"/>
      <w:marBottom w:val="0"/>
      <w:divBdr>
        <w:top w:val="none" w:sz="0" w:space="0" w:color="auto"/>
        <w:left w:val="none" w:sz="0" w:space="0" w:color="auto"/>
        <w:bottom w:val="none" w:sz="0" w:space="0" w:color="auto"/>
        <w:right w:val="none" w:sz="0" w:space="0" w:color="auto"/>
      </w:divBdr>
    </w:div>
    <w:div w:id="1165437744">
      <w:bodyDiv w:val="1"/>
      <w:marLeft w:val="0"/>
      <w:marRight w:val="0"/>
      <w:marTop w:val="0"/>
      <w:marBottom w:val="0"/>
      <w:divBdr>
        <w:top w:val="none" w:sz="0" w:space="0" w:color="auto"/>
        <w:left w:val="none" w:sz="0" w:space="0" w:color="auto"/>
        <w:bottom w:val="none" w:sz="0" w:space="0" w:color="auto"/>
        <w:right w:val="none" w:sz="0" w:space="0" w:color="auto"/>
      </w:divBdr>
    </w:div>
    <w:div w:id="1276790406">
      <w:bodyDiv w:val="1"/>
      <w:marLeft w:val="0"/>
      <w:marRight w:val="0"/>
      <w:marTop w:val="0"/>
      <w:marBottom w:val="0"/>
      <w:divBdr>
        <w:top w:val="none" w:sz="0" w:space="0" w:color="auto"/>
        <w:left w:val="none" w:sz="0" w:space="0" w:color="auto"/>
        <w:bottom w:val="none" w:sz="0" w:space="0" w:color="auto"/>
        <w:right w:val="none" w:sz="0" w:space="0" w:color="auto"/>
      </w:divBdr>
    </w:div>
    <w:div w:id="1291207002">
      <w:bodyDiv w:val="1"/>
      <w:marLeft w:val="0"/>
      <w:marRight w:val="0"/>
      <w:marTop w:val="0"/>
      <w:marBottom w:val="0"/>
      <w:divBdr>
        <w:top w:val="none" w:sz="0" w:space="0" w:color="auto"/>
        <w:left w:val="none" w:sz="0" w:space="0" w:color="auto"/>
        <w:bottom w:val="none" w:sz="0" w:space="0" w:color="auto"/>
        <w:right w:val="none" w:sz="0" w:space="0" w:color="auto"/>
      </w:divBdr>
    </w:div>
    <w:div w:id="1315793288">
      <w:bodyDiv w:val="1"/>
      <w:marLeft w:val="0"/>
      <w:marRight w:val="0"/>
      <w:marTop w:val="0"/>
      <w:marBottom w:val="0"/>
      <w:divBdr>
        <w:top w:val="none" w:sz="0" w:space="0" w:color="auto"/>
        <w:left w:val="none" w:sz="0" w:space="0" w:color="auto"/>
        <w:bottom w:val="none" w:sz="0" w:space="0" w:color="auto"/>
        <w:right w:val="none" w:sz="0" w:space="0" w:color="auto"/>
      </w:divBdr>
    </w:div>
    <w:div w:id="1434593187">
      <w:bodyDiv w:val="1"/>
      <w:marLeft w:val="0"/>
      <w:marRight w:val="0"/>
      <w:marTop w:val="0"/>
      <w:marBottom w:val="0"/>
      <w:divBdr>
        <w:top w:val="none" w:sz="0" w:space="0" w:color="auto"/>
        <w:left w:val="none" w:sz="0" w:space="0" w:color="auto"/>
        <w:bottom w:val="none" w:sz="0" w:space="0" w:color="auto"/>
        <w:right w:val="none" w:sz="0" w:space="0" w:color="auto"/>
      </w:divBdr>
    </w:div>
    <w:div w:id="1443646289">
      <w:bodyDiv w:val="1"/>
      <w:marLeft w:val="0"/>
      <w:marRight w:val="0"/>
      <w:marTop w:val="0"/>
      <w:marBottom w:val="0"/>
      <w:divBdr>
        <w:top w:val="none" w:sz="0" w:space="0" w:color="auto"/>
        <w:left w:val="none" w:sz="0" w:space="0" w:color="auto"/>
        <w:bottom w:val="none" w:sz="0" w:space="0" w:color="auto"/>
        <w:right w:val="none" w:sz="0" w:space="0" w:color="auto"/>
      </w:divBdr>
    </w:div>
    <w:div w:id="1462113244">
      <w:bodyDiv w:val="1"/>
      <w:marLeft w:val="0"/>
      <w:marRight w:val="0"/>
      <w:marTop w:val="0"/>
      <w:marBottom w:val="0"/>
      <w:divBdr>
        <w:top w:val="none" w:sz="0" w:space="0" w:color="auto"/>
        <w:left w:val="none" w:sz="0" w:space="0" w:color="auto"/>
        <w:bottom w:val="none" w:sz="0" w:space="0" w:color="auto"/>
        <w:right w:val="none" w:sz="0" w:space="0" w:color="auto"/>
      </w:divBdr>
      <w:divsChild>
        <w:div w:id="160321687">
          <w:marLeft w:val="0"/>
          <w:marRight w:val="0"/>
          <w:marTop w:val="0"/>
          <w:marBottom w:val="0"/>
          <w:divBdr>
            <w:top w:val="none" w:sz="0" w:space="0" w:color="auto"/>
            <w:left w:val="none" w:sz="0" w:space="0" w:color="auto"/>
            <w:bottom w:val="none" w:sz="0" w:space="0" w:color="auto"/>
            <w:right w:val="none" w:sz="0" w:space="0" w:color="auto"/>
          </w:divBdr>
          <w:divsChild>
            <w:div w:id="629752970">
              <w:marLeft w:val="0"/>
              <w:marRight w:val="0"/>
              <w:marTop w:val="0"/>
              <w:marBottom w:val="0"/>
              <w:divBdr>
                <w:top w:val="single" w:sz="12" w:space="1" w:color="0B57D0"/>
                <w:left w:val="single" w:sz="12" w:space="5" w:color="0B57D0"/>
                <w:bottom w:val="single" w:sz="12" w:space="1" w:color="0B57D0"/>
                <w:right w:val="single" w:sz="12" w:space="5" w:color="0B57D0"/>
              </w:divBdr>
              <w:divsChild>
                <w:div w:id="1864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85640">
      <w:bodyDiv w:val="1"/>
      <w:marLeft w:val="0"/>
      <w:marRight w:val="0"/>
      <w:marTop w:val="0"/>
      <w:marBottom w:val="0"/>
      <w:divBdr>
        <w:top w:val="none" w:sz="0" w:space="0" w:color="auto"/>
        <w:left w:val="none" w:sz="0" w:space="0" w:color="auto"/>
        <w:bottom w:val="none" w:sz="0" w:space="0" w:color="auto"/>
        <w:right w:val="none" w:sz="0" w:space="0" w:color="auto"/>
      </w:divBdr>
    </w:div>
    <w:div w:id="1620525860">
      <w:bodyDiv w:val="1"/>
      <w:marLeft w:val="0"/>
      <w:marRight w:val="0"/>
      <w:marTop w:val="0"/>
      <w:marBottom w:val="0"/>
      <w:divBdr>
        <w:top w:val="none" w:sz="0" w:space="0" w:color="auto"/>
        <w:left w:val="none" w:sz="0" w:space="0" w:color="auto"/>
        <w:bottom w:val="none" w:sz="0" w:space="0" w:color="auto"/>
        <w:right w:val="none" w:sz="0" w:space="0" w:color="auto"/>
      </w:divBdr>
    </w:div>
    <w:div w:id="1831284697">
      <w:bodyDiv w:val="1"/>
      <w:marLeft w:val="0"/>
      <w:marRight w:val="0"/>
      <w:marTop w:val="0"/>
      <w:marBottom w:val="0"/>
      <w:divBdr>
        <w:top w:val="none" w:sz="0" w:space="0" w:color="auto"/>
        <w:left w:val="none" w:sz="0" w:space="0" w:color="auto"/>
        <w:bottom w:val="none" w:sz="0" w:space="0" w:color="auto"/>
        <w:right w:val="none" w:sz="0" w:space="0" w:color="auto"/>
      </w:divBdr>
    </w:div>
    <w:div w:id="1857386106">
      <w:bodyDiv w:val="1"/>
      <w:marLeft w:val="0"/>
      <w:marRight w:val="0"/>
      <w:marTop w:val="0"/>
      <w:marBottom w:val="0"/>
      <w:divBdr>
        <w:top w:val="none" w:sz="0" w:space="0" w:color="auto"/>
        <w:left w:val="none" w:sz="0" w:space="0" w:color="auto"/>
        <w:bottom w:val="none" w:sz="0" w:space="0" w:color="auto"/>
        <w:right w:val="none" w:sz="0" w:space="0" w:color="auto"/>
      </w:divBdr>
    </w:div>
    <w:div w:id="1924144162">
      <w:bodyDiv w:val="1"/>
      <w:marLeft w:val="0"/>
      <w:marRight w:val="0"/>
      <w:marTop w:val="0"/>
      <w:marBottom w:val="0"/>
      <w:divBdr>
        <w:top w:val="none" w:sz="0" w:space="0" w:color="auto"/>
        <w:left w:val="none" w:sz="0" w:space="0" w:color="auto"/>
        <w:bottom w:val="none" w:sz="0" w:space="0" w:color="auto"/>
        <w:right w:val="none" w:sz="0" w:space="0" w:color="auto"/>
      </w:divBdr>
    </w:div>
    <w:div w:id="1941525687">
      <w:bodyDiv w:val="1"/>
      <w:marLeft w:val="0"/>
      <w:marRight w:val="0"/>
      <w:marTop w:val="0"/>
      <w:marBottom w:val="0"/>
      <w:divBdr>
        <w:top w:val="none" w:sz="0" w:space="0" w:color="auto"/>
        <w:left w:val="none" w:sz="0" w:space="0" w:color="auto"/>
        <w:bottom w:val="none" w:sz="0" w:space="0" w:color="auto"/>
        <w:right w:val="none" w:sz="0" w:space="0" w:color="auto"/>
      </w:divBdr>
    </w:div>
    <w:div w:id="2025668797">
      <w:bodyDiv w:val="1"/>
      <w:marLeft w:val="0"/>
      <w:marRight w:val="0"/>
      <w:marTop w:val="0"/>
      <w:marBottom w:val="0"/>
      <w:divBdr>
        <w:top w:val="none" w:sz="0" w:space="0" w:color="auto"/>
        <w:left w:val="none" w:sz="0" w:space="0" w:color="auto"/>
        <w:bottom w:val="none" w:sz="0" w:space="0" w:color="auto"/>
        <w:right w:val="none" w:sz="0" w:space="0" w:color="auto"/>
      </w:divBdr>
    </w:div>
    <w:div w:id="2147310605">
      <w:bodyDiv w:val="1"/>
      <w:marLeft w:val="0"/>
      <w:marRight w:val="0"/>
      <w:marTop w:val="0"/>
      <w:marBottom w:val="0"/>
      <w:divBdr>
        <w:top w:val="none" w:sz="0" w:space="0" w:color="auto"/>
        <w:left w:val="none" w:sz="0" w:space="0" w:color="auto"/>
        <w:bottom w:val="none" w:sz="0" w:space="0" w:color="auto"/>
        <w:right w:val="none" w:sz="0" w:space="0" w:color="auto"/>
      </w:divBdr>
      <w:divsChild>
        <w:div w:id="565117135">
          <w:marLeft w:val="0"/>
          <w:marRight w:val="0"/>
          <w:marTop w:val="0"/>
          <w:marBottom w:val="0"/>
          <w:divBdr>
            <w:top w:val="none" w:sz="0" w:space="0" w:color="auto"/>
            <w:left w:val="none" w:sz="0" w:space="0" w:color="auto"/>
            <w:bottom w:val="none" w:sz="0" w:space="0" w:color="auto"/>
            <w:right w:val="none" w:sz="0" w:space="0" w:color="auto"/>
          </w:divBdr>
          <w:divsChild>
            <w:div w:id="914584071">
              <w:marLeft w:val="0"/>
              <w:marRight w:val="0"/>
              <w:marTop w:val="0"/>
              <w:marBottom w:val="0"/>
              <w:divBdr>
                <w:top w:val="none" w:sz="0" w:space="0" w:color="auto"/>
                <w:left w:val="none" w:sz="0" w:space="0" w:color="auto"/>
                <w:bottom w:val="none" w:sz="0" w:space="0" w:color="auto"/>
                <w:right w:val="none" w:sz="0" w:space="0" w:color="auto"/>
              </w:divBdr>
              <w:divsChild>
                <w:div w:id="2143496350">
                  <w:marLeft w:val="0"/>
                  <w:marRight w:val="0"/>
                  <w:marTop w:val="0"/>
                  <w:marBottom w:val="0"/>
                  <w:divBdr>
                    <w:top w:val="none" w:sz="0" w:space="0" w:color="auto"/>
                    <w:left w:val="none" w:sz="0" w:space="0" w:color="auto"/>
                    <w:bottom w:val="none" w:sz="0" w:space="0" w:color="auto"/>
                    <w:right w:val="none" w:sz="0" w:space="0" w:color="auto"/>
                  </w:divBdr>
                  <w:divsChild>
                    <w:div w:id="174999153">
                      <w:marLeft w:val="0"/>
                      <w:marRight w:val="-105"/>
                      <w:marTop w:val="0"/>
                      <w:marBottom w:val="0"/>
                      <w:divBdr>
                        <w:top w:val="none" w:sz="0" w:space="0" w:color="auto"/>
                        <w:left w:val="none" w:sz="0" w:space="0" w:color="auto"/>
                        <w:bottom w:val="none" w:sz="0" w:space="0" w:color="auto"/>
                        <w:right w:val="none" w:sz="0" w:space="0" w:color="auto"/>
                      </w:divBdr>
                      <w:divsChild>
                        <w:div w:id="1780180332">
                          <w:marLeft w:val="0"/>
                          <w:marRight w:val="0"/>
                          <w:marTop w:val="0"/>
                          <w:marBottom w:val="0"/>
                          <w:divBdr>
                            <w:top w:val="none" w:sz="0" w:space="0" w:color="auto"/>
                            <w:left w:val="none" w:sz="0" w:space="0" w:color="auto"/>
                            <w:bottom w:val="none" w:sz="0" w:space="0" w:color="auto"/>
                            <w:right w:val="none" w:sz="0" w:space="0" w:color="auto"/>
                          </w:divBdr>
                          <w:divsChild>
                            <w:div w:id="660233225">
                              <w:marLeft w:val="0"/>
                              <w:marRight w:val="0"/>
                              <w:marTop w:val="0"/>
                              <w:marBottom w:val="0"/>
                              <w:divBdr>
                                <w:top w:val="none" w:sz="0" w:space="0" w:color="auto"/>
                                <w:left w:val="none" w:sz="0" w:space="0" w:color="auto"/>
                                <w:bottom w:val="none" w:sz="0" w:space="0" w:color="auto"/>
                                <w:right w:val="none" w:sz="0" w:space="0" w:color="auto"/>
                              </w:divBdr>
                              <w:divsChild>
                                <w:div w:id="1628777706">
                                  <w:marLeft w:val="0"/>
                                  <w:marRight w:val="0"/>
                                  <w:marTop w:val="0"/>
                                  <w:marBottom w:val="0"/>
                                  <w:divBdr>
                                    <w:top w:val="none" w:sz="0" w:space="0" w:color="auto"/>
                                    <w:left w:val="none" w:sz="0" w:space="0" w:color="auto"/>
                                    <w:bottom w:val="none" w:sz="0" w:space="0" w:color="auto"/>
                                    <w:right w:val="none" w:sz="0" w:space="0" w:color="auto"/>
                                  </w:divBdr>
                                  <w:divsChild>
                                    <w:div w:id="348719928">
                                      <w:marLeft w:val="750"/>
                                      <w:marRight w:val="0"/>
                                      <w:marTop w:val="0"/>
                                      <w:marBottom w:val="0"/>
                                      <w:divBdr>
                                        <w:top w:val="none" w:sz="0" w:space="0" w:color="auto"/>
                                        <w:left w:val="none" w:sz="0" w:space="0" w:color="auto"/>
                                        <w:bottom w:val="none" w:sz="0" w:space="0" w:color="auto"/>
                                        <w:right w:val="none" w:sz="0" w:space="0" w:color="auto"/>
                                      </w:divBdr>
                                      <w:divsChild>
                                        <w:div w:id="1152285698">
                                          <w:marLeft w:val="0"/>
                                          <w:marRight w:val="0"/>
                                          <w:marTop w:val="0"/>
                                          <w:marBottom w:val="0"/>
                                          <w:divBdr>
                                            <w:top w:val="none" w:sz="0" w:space="0" w:color="auto"/>
                                            <w:left w:val="none" w:sz="0" w:space="0" w:color="auto"/>
                                            <w:bottom w:val="none" w:sz="0" w:space="0" w:color="auto"/>
                                            <w:right w:val="none" w:sz="0" w:space="0" w:color="auto"/>
                                          </w:divBdr>
                                          <w:divsChild>
                                            <w:div w:id="1016225250">
                                              <w:marLeft w:val="0"/>
                                              <w:marRight w:val="0"/>
                                              <w:marTop w:val="0"/>
                                              <w:marBottom w:val="0"/>
                                              <w:divBdr>
                                                <w:top w:val="none" w:sz="0" w:space="0" w:color="auto"/>
                                                <w:left w:val="none" w:sz="0" w:space="0" w:color="auto"/>
                                                <w:bottom w:val="none" w:sz="0" w:space="0" w:color="auto"/>
                                                <w:right w:val="none" w:sz="0" w:space="0" w:color="auto"/>
                                              </w:divBdr>
                                              <w:divsChild>
                                                <w:div w:id="695041451">
                                                  <w:marLeft w:val="0"/>
                                                  <w:marRight w:val="0"/>
                                                  <w:marTop w:val="0"/>
                                                  <w:marBottom w:val="0"/>
                                                  <w:divBdr>
                                                    <w:top w:val="none" w:sz="0" w:space="0" w:color="auto"/>
                                                    <w:left w:val="none" w:sz="0" w:space="0" w:color="auto"/>
                                                    <w:bottom w:val="none" w:sz="0" w:space="0" w:color="auto"/>
                                                    <w:right w:val="none" w:sz="0" w:space="0" w:color="auto"/>
                                                  </w:divBdr>
                                                  <w:divsChild>
                                                    <w:div w:id="1223952259">
                                                      <w:marLeft w:val="0"/>
                                                      <w:marRight w:val="0"/>
                                                      <w:marTop w:val="0"/>
                                                      <w:marBottom w:val="0"/>
                                                      <w:divBdr>
                                                        <w:top w:val="none" w:sz="0" w:space="0" w:color="auto"/>
                                                        <w:left w:val="none" w:sz="0" w:space="0" w:color="auto"/>
                                                        <w:bottom w:val="none" w:sz="0" w:space="0" w:color="auto"/>
                                                        <w:right w:val="none" w:sz="0" w:space="0" w:color="auto"/>
                                                      </w:divBdr>
                                                      <w:divsChild>
                                                        <w:div w:id="144706109">
                                                          <w:marLeft w:val="0"/>
                                                          <w:marRight w:val="0"/>
                                                          <w:marTop w:val="0"/>
                                                          <w:marBottom w:val="0"/>
                                                          <w:divBdr>
                                                            <w:top w:val="none" w:sz="0" w:space="0" w:color="auto"/>
                                                            <w:left w:val="none" w:sz="0" w:space="0" w:color="auto"/>
                                                            <w:bottom w:val="none" w:sz="0" w:space="0" w:color="auto"/>
                                                            <w:right w:val="none" w:sz="0" w:space="0" w:color="auto"/>
                                                          </w:divBdr>
                                                          <w:divsChild>
                                                            <w:div w:id="844444165">
                                                              <w:marLeft w:val="0"/>
                                                              <w:marRight w:val="0"/>
                                                              <w:marTop w:val="0"/>
                                                              <w:marBottom w:val="0"/>
                                                              <w:divBdr>
                                                                <w:top w:val="none" w:sz="0" w:space="0" w:color="auto"/>
                                                                <w:left w:val="none" w:sz="0" w:space="0" w:color="auto"/>
                                                                <w:bottom w:val="none" w:sz="0" w:space="0" w:color="auto"/>
                                                                <w:right w:val="none" w:sz="0" w:space="0" w:color="auto"/>
                                                              </w:divBdr>
                                                              <w:divsChild>
                                                                <w:div w:id="1054160168">
                                                                  <w:marLeft w:val="0"/>
                                                                  <w:marRight w:val="0"/>
                                                                  <w:marTop w:val="0"/>
                                                                  <w:marBottom w:val="0"/>
                                                                  <w:divBdr>
                                                                    <w:top w:val="none" w:sz="0" w:space="0" w:color="auto"/>
                                                                    <w:left w:val="none" w:sz="0" w:space="0" w:color="auto"/>
                                                                    <w:bottom w:val="none" w:sz="0" w:space="0" w:color="auto"/>
                                                                    <w:right w:val="none" w:sz="0" w:space="0" w:color="auto"/>
                                                                  </w:divBdr>
                                                                  <w:divsChild>
                                                                    <w:div w:id="1060440253">
                                                                      <w:marLeft w:val="0"/>
                                                                      <w:marRight w:val="0"/>
                                                                      <w:marTop w:val="0"/>
                                                                      <w:marBottom w:val="0"/>
                                                                      <w:divBdr>
                                                                        <w:top w:val="none" w:sz="0" w:space="0" w:color="auto"/>
                                                                        <w:left w:val="none" w:sz="0" w:space="0" w:color="auto"/>
                                                                        <w:bottom w:val="none" w:sz="0" w:space="0" w:color="auto"/>
                                                                        <w:right w:val="none" w:sz="0" w:space="0" w:color="auto"/>
                                                                      </w:divBdr>
                                                                      <w:divsChild>
                                                                        <w:div w:id="1071779239">
                                                                          <w:marLeft w:val="0"/>
                                                                          <w:marRight w:val="0"/>
                                                                          <w:marTop w:val="0"/>
                                                                          <w:marBottom w:val="0"/>
                                                                          <w:divBdr>
                                                                            <w:top w:val="none" w:sz="0" w:space="0" w:color="auto"/>
                                                                            <w:left w:val="none" w:sz="0" w:space="0" w:color="auto"/>
                                                                            <w:bottom w:val="none" w:sz="0" w:space="0" w:color="auto"/>
                                                                            <w:right w:val="none" w:sz="0" w:space="0" w:color="auto"/>
                                                                          </w:divBdr>
                                                                          <w:divsChild>
                                                                            <w:div w:id="12339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49935">
                                                                  <w:marLeft w:val="0"/>
                                                                  <w:marRight w:val="0"/>
                                                                  <w:marTop w:val="60"/>
                                                                  <w:marBottom w:val="0"/>
                                                                  <w:divBdr>
                                                                    <w:top w:val="none" w:sz="0" w:space="0" w:color="auto"/>
                                                                    <w:left w:val="none" w:sz="0" w:space="0" w:color="auto"/>
                                                                    <w:bottom w:val="none" w:sz="0" w:space="0" w:color="auto"/>
                                                                    <w:right w:val="none" w:sz="0" w:space="0" w:color="auto"/>
                                                                  </w:divBdr>
                                                                </w:div>
                                                                <w:div w:id="174543605">
                                                                  <w:marLeft w:val="0"/>
                                                                  <w:marRight w:val="0"/>
                                                                  <w:marTop w:val="0"/>
                                                                  <w:marBottom w:val="0"/>
                                                                  <w:divBdr>
                                                                    <w:top w:val="none" w:sz="0" w:space="0" w:color="auto"/>
                                                                    <w:left w:val="none" w:sz="0" w:space="0" w:color="auto"/>
                                                                    <w:bottom w:val="none" w:sz="0" w:space="0" w:color="auto"/>
                                                                    <w:right w:val="none" w:sz="0" w:space="0" w:color="auto"/>
                                                                  </w:divBdr>
                                                                  <w:divsChild>
                                                                    <w:div w:id="1885483942">
                                                                      <w:marLeft w:val="0"/>
                                                                      <w:marRight w:val="0"/>
                                                                      <w:marTop w:val="0"/>
                                                                      <w:marBottom w:val="0"/>
                                                                      <w:divBdr>
                                                                        <w:top w:val="none" w:sz="0" w:space="0" w:color="auto"/>
                                                                        <w:left w:val="none" w:sz="0" w:space="0" w:color="auto"/>
                                                                        <w:bottom w:val="none" w:sz="0" w:space="0" w:color="auto"/>
                                                                        <w:right w:val="none" w:sz="0" w:space="0" w:color="auto"/>
                                                                      </w:divBdr>
                                                                      <w:divsChild>
                                                                        <w:div w:id="1181817147">
                                                                          <w:marLeft w:val="0"/>
                                                                          <w:marRight w:val="0"/>
                                                                          <w:marTop w:val="0"/>
                                                                          <w:marBottom w:val="0"/>
                                                                          <w:divBdr>
                                                                            <w:top w:val="none" w:sz="0" w:space="0" w:color="auto"/>
                                                                            <w:left w:val="none" w:sz="0" w:space="0" w:color="auto"/>
                                                                            <w:bottom w:val="none" w:sz="0" w:space="0" w:color="auto"/>
                                                                            <w:right w:val="none" w:sz="0" w:space="0" w:color="auto"/>
                                                                          </w:divBdr>
                                                                          <w:divsChild>
                                                                            <w:div w:id="1089161316">
                                                                              <w:marLeft w:val="0"/>
                                                                              <w:marRight w:val="0"/>
                                                                              <w:marTop w:val="0"/>
                                                                              <w:marBottom w:val="0"/>
                                                                              <w:divBdr>
                                                                                <w:top w:val="none" w:sz="0" w:space="0" w:color="auto"/>
                                                                                <w:left w:val="none" w:sz="0" w:space="0" w:color="auto"/>
                                                                                <w:bottom w:val="none" w:sz="0" w:space="0" w:color="auto"/>
                                                                                <w:right w:val="none" w:sz="0" w:space="0" w:color="auto"/>
                                                                              </w:divBdr>
                                                                              <w:divsChild>
                                                                                <w:div w:id="1128470664">
                                                                                  <w:marLeft w:val="105"/>
                                                                                  <w:marRight w:val="105"/>
                                                                                  <w:marTop w:val="90"/>
                                                                                  <w:marBottom w:val="150"/>
                                                                                  <w:divBdr>
                                                                                    <w:top w:val="none" w:sz="0" w:space="0" w:color="auto"/>
                                                                                    <w:left w:val="none" w:sz="0" w:space="0" w:color="auto"/>
                                                                                    <w:bottom w:val="none" w:sz="0" w:space="0" w:color="auto"/>
                                                                                    <w:right w:val="none" w:sz="0" w:space="0" w:color="auto"/>
                                                                                  </w:divBdr>
                                                                                </w:div>
                                                                                <w:div w:id="616642534">
                                                                                  <w:marLeft w:val="105"/>
                                                                                  <w:marRight w:val="105"/>
                                                                                  <w:marTop w:val="90"/>
                                                                                  <w:marBottom w:val="150"/>
                                                                                  <w:divBdr>
                                                                                    <w:top w:val="none" w:sz="0" w:space="0" w:color="auto"/>
                                                                                    <w:left w:val="none" w:sz="0" w:space="0" w:color="auto"/>
                                                                                    <w:bottom w:val="none" w:sz="0" w:space="0" w:color="auto"/>
                                                                                    <w:right w:val="none" w:sz="0" w:space="0" w:color="auto"/>
                                                                                  </w:divBdr>
                                                                                </w:div>
                                                                                <w:div w:id="193659657">
                                                                                  <w:marLeft w:val="105"/>
                                                                                  <w:marRight w:val="105"/>
                                                                                  <w:marTop w:val="90"/>
                                                                                  <w:marBottom w:val="150"/>
                                                                                  <w:divBdr>
                                                                                    <w:top w:val="none" w:sz="0" w:space="0" w:color="auto"/>
                                                                                    <w:left w:val="none" w:sz="0" w:space="0" w:color="auto"/>
                                                                                    <w:bottom w:val="none" w:sz="0" w:space="0" w:color="auto"/>
                                                                                    <w:right w:val="none" w:sz="0" w:space="0" w:color="auto"/>
                                                                                  </w:divBdr>
                                                                                </w:div>
                                                                                <w:div w:id="120156047">
                                                                                  <w:marLeft w:val="105"/>
                                                                                  <w:marRight w:val="105"/>
                                                                                  <w:marTop w:val="90"/>
                                                                                  <w:marBottom w:val="150"/>
                                                                                  <w:divBdr>
                                                                                    <w:top w:val="none" w:sz="0" w:space="0" w:color="auto"/>
                                                                                    <w:left w:val="none" w:sz="0" w:space="0" w:color="auto"/>
                                                                                    <w:bottom w:val="none" w:sz="0" w:space="0" w:color="auto"/>
                                                                                    <w:right w:val="none" w:sz="0" w:space="0" w:color="auto"/>
                                                                                  </w:divBdr>
                                                                                </w:div>
                                                                                <w:div w:id="2042586013">
                                                                                  <w:marLeft w:val="105"/>
                                                                                  <w:marRight w:val="105"/>
                                                                                  <w:marTop w:val="90"/>
                                                                                  <w:marBottom w:val="150"/>
                                                                                  <w:divBdr>
                                                                                    <w:top w:val="none" w:sz="0" w:space="0" w:color="auto"/>
                                                                                    <w:left w:val="none" w:sz="0" w:space="0" w:color="auto"/>
                                                                                    <w:bottom w:val="none" w:sz="0" w:space="0" w:color="auto"/>
                                                                                    <w:right w:val="none" w:sz="0" w:space="0" w:color="auto"/>
                                                                                  </w:divBdr>
                                                                                </w:div>
                                                                                <w:div w:id="71165575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320615">
          <w:marLeft w:val="0"/>
          <w:marRight w:val="0"/>
          <w:marTop w:val="0"/>
          <w:marBottom w:val="0"/>
          <w:divBdr>
            <w:top w:val="none" w:sz="0" w:space="0" w:color="auto"/>
            <w:left w:val="none" w:sz="0" w:space="0" w:color="auto"/>
            <w:bottom w:val="none" w:sz="0" w:space="0" w:color="auto"/>
            <w:right w:val="none" w:sz="0" w:space="0" w:color="auto"/>
          </w:divBdr>
          <w:divsChild>
            <w:div w:id="477382819">
              <w:marLeft w:val="0"/>
              <w:marRight w:val="0"/>
              <w:marTop w:val="0"/>
              <w:marBottom w:val="0"/>
              <w:divBdr>
                <w:top w:val="none" w:sz="0" w:space="0" w:color="auto"/>
                <w:left w:val="none" w:sz="0" w:space="0" w:color="auto"/>
                <w:bottom w:val="none" w:sz="0" w:space="0" w:color="auto"/>
                <w:right w:val="none" w:sz="0" w:space="0" w:color="auto"/>
              </w:divBdr>
              <w:divsChild>
                <w:div w:id="6237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B8795-680F-4DD9-8F10-19B0B43C1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9627</Words>
  <Characters>54880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Thanh</dc:creator>
  <cp:keywords/>
  <dc:description/>
  <cp:lastModifiedBy>DUC</cp:lastModifiedBy>
  <cp:revision>2</cp:revision>
  <cp:lastPrinted>2026-01-05T01:10:00Z</cp:lastPrinted>
  <dcterms:created xsi:type="dcterms:W3CDTF">2026-09-14T03:37:00Z</dcterms:created>
  <dcterms:modified xsi:type="dcterms:W3CDTF">2026-09-14T03:37:00Z</dcterms:modified>
</cp:coreProperties>
</file>