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4503" w:type="dxa"/>
        <w:jc w:val="center"/>
        <w:tblBorders>
          <w:top w:val="nil"/>
          <w:left w:val="nil"/>
          <w:bottom w:val="nil"/>
          <w:right w:val="nil"/>
          <w:insideH w:val="nil"/>
          <w:insideV w:val="nil"/>
        </w:tblBorders>
        <w:tblLayout w:type="fixed"/>
        <w:tblLook w:val="04A0" w:firstRow="1" w:lastRow="0" w:firstColumn="1" w:lastColumn="0" w:noHBand="0" w:noVBand="1"/>
      </w:tblPr>
      <w:tblGrid>
        <w:gridCol w:w="7416"/>
        <w:gridCol w:w="7087"/>
      </w:tblGrid>
      <w:tr w:rsidR="009D255E" w:rsidRPr="006A56D3" w14:paraId="5465CCEE" w14:textId="77777777" w:rsidTr="00E57C62">
        <w:trPr>
          <w:jc w:val="center"/>
        </w:trPr>
        <w:tc>
          <w:tcPr>
            <w:tcW w:w="7416" w:type="dxa"/>
            <w:tcMar>
              <w:top w:w="0" w:type="dxa"/>
              <w:left w:w="0" w:type="dxa"/>
              <w:bottom w:w="0" w:type="dxa"/>
              <w:right w:w="0" w:type="dxa"/>
            </w:tcMar>
          </w:tcPr>
          <w:p w14:paraId="20B4B7E2" w14:textId="77777777" w:rsidR="009D255E" w:rsidRPr="006A56D3" w:rsidRDefault="00395F73" w:rsidP="00BF5447">
            <w:pPr>
              <w:spacing w:after="0" w:line="240" w:lineRule="auto"/>
              <w:rPr>
                <w:rFonts w:cs="Times New Roman"/>
              </w:rPr>
            </w:pPr>
            <w:r w:rsidRPr="006A56D3">
              <w:rPr>
                <w:rFonts w:cs="Times New Roman"/>
                <w:sz w:val="26"/>
              </w:rPr>
              <w:t>ỦY BAN NHÂN DÂN</w:t>
            </w:r>
          </w:p>
          <w:p w14:paraId="4FFF1D96" w14:textId="77777777" w:rsidR="009D255E" w:rsidRPr="006A56D3" w:rsidRDefault="00395F73">
            <w:pPr>
              <w:spacing w:after="0" w:line="240" w:lineRule="auto"/>
              <w:jc w:val="center"/>
              <w:rPr>
                <w:rFonts w:cs="Times New Roman"/>
              </w:rPr>
            </w:pPr>
            <w:r w:rsidRPr="006A56D3">
              <w:rPr>
                <w:rFonts w:cs="Times New Roman"/>
                <w:sz w:val="26"/>
              </w:rPr>
              <w:t>THÀNH PHỐ HỒ CHÍ MINH</w:t>
            </w:r>
          </w:p>
          <w:p w14:paraId="091EDE16" w14:textId="77777777" w:rsidR="009D255E" w:rsidRPr="006A56D3" w:rsidRDefault="00F2411A">
            <w:pPr>
              <w:spacing w:after="0" w:line="240" w:lineRule="auto"/>
              <w:jc w:val="center"/>
              <w:rPr>
                <w:rFonts w:cs="Times New Roman"/>
              </w:rPr>
            </w:pPr>
            <w:r w:rsidRPr="006A56D3">
              <w:rPr>
                <w:rFonts w:cs="Times New Roman"/>
                <w:b/>
                <w:noProof/>
                <w:sz w:val="26"/>
              </w:rPr>
              <mc:AlternateContent>
                <mc:Choice Requires="wps">
                  <w:drawing>
                    <wp:anchor distT="0" distB="0" distL="114300" distR="114300" simplePos="0" relativeHeight="251657216" behindDoc="0" locked="1" layoutInCell="1" allowOverlap="1" wp14:anchorId="7BA09547" wp14:editId="5A8BD09C">
                      <wp:simplePos x="0" y="0"/>
                      <wp:positionH relativeFrom="column">
                        <wp:align>center</wp:align>
                      </wp:positionH>
                      <wp:positionV relativeFrom="paragraph">
                        <wp:posOffset>246380</wp:posOffset>
                      </wp:positionV>
                      <wp:extent cx="1112400" cy="0"/>
                      <wp:effectExtent l="0" t="0" r="31115" b="19050"/>
                      <wp:wrapNone/>
                      <wp:docPr id="1" name="Straight Connector 1"/>
                      <wp:cNvGraphicFramePr/>
                      <a:graphic xmlns:a="http://schemas.openxmlformats.org/drawingml/2006/main">
                        <a:graphicData uri="http://schemas.microsoft.com/office/word/2010/wordprocessingShape">
                          <wps:wsp>
                            <wps:cNvCnPr/>
                            <wps:spPr>
                              <a:xfrm>
                                <a:off x="0" y="0"/>
                                <a:ext cx="1112400" cy="0"/>
                              </a:xfrm>
                              <a:prstGeom prst="line">
                                <a:avLst/>
                              </a:prstGeom>
                              <a:ln>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xmlns:w16cei="http://schemas.microsoft.com/office/word/2026/wordml/cei">
                  <w:pict>
                    <v:line w14:anchorId="3C981040" id="Straight Connector 1" o:spid="_x0000_s1026" style="position:absolute;z-index:251657216;visibility:visible;mso-wrap-style:square;mso-width-percent:0;mso-wrap-distance-left:9pt;mso-wrap-distance-top:0;mso-wrap-distance-right:9pt;mso-wrap-distance-bottom:0;mso-position-horizontal:center;mso-position-horizontal-relative:text;mso-position-vertical:absolute;mso-position-vertical-relative:text;mso-width-percent:0;mso-width-relative:margin" from="0,19.4pt" to="87.6pt,1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" strokecolor="black [3213]">
                      <w10:anchorlock/>
                    </v:line>
                  </w:pict>
                </mc:Fallback>
              </mc:AlternateContent>
            </w:r>
            <w:r w:rsidR="00395F73" w:rsidRPr="006A56D3">
              <w:rPr>
                <w:rFonts w:cs="Times New Roman"/>
                <w:b/>
                <w:sz w:val="26"/>
              </w:rPr>
              <w:t>SỞ KHOA HỌC VÀ CÔNG NGHỆ</w:t>
            </w:r>
          </w:p>
        </w:tc>
        <w:tc>
          <w:tcPr>
            <w:tcW w:w="7087" w:type="dxa"/>
            <w:tcMar>
              <w:top w:w="0" w:type="dxa"/>
              <w:left w:w="0" w:type="dxa"/>
              <w:bottom w:w="0" w:type="dxa"/>
              <w:right w:w="0" w:type="dxa"/>
            </w:tcMar>
          </w:tcPr>
          <w:p w14:paraId="003A9643" w14:textId="77777777" w:rsidR="009D255E" w:rsidRPr="006A56D3" w:rsidRDefault="00395F73">
            <w:pPr>
              <w:spacing w:after="0" w:line="240" w:lineRule="auto"/>
              <w:jc w:val="center"/>
              <w:rPr>
                <w:rFonts w:cs="Times New Roman"/>
              </w:rPr>
            </w:pPr>
            <w:r w:rsidRPr="006A56D3">
              <w:rPr>
                <w:rFonts w:cs="Times New Roman"/>
                <w:b/>
                <w:sz w:val="26"/>
              </w:rPr>
              <w:t>CỘNG HÒA XÃ HỘI CHỦ NGHĨA VIỆT NAM</w:t>
            </w:r>
          </w:p>
          <w:p w14:paraId="62A33884" w14:textId="77777777" w:rsidR="009D255E" w:rsidRPr="006A56D3" w:rsidRDefault="00395F73">
            <w:pPr>
              <w:spacing w:after="0" w:line="240" w:lineRule="auto"/>
              <w:jc w:val="center"/>
              <w:rPr>
                <w:rFonts w:cs="Times New Roman"/>
                <w:sz w:val="28"/>
                <w:szCs w:val="28"/>
              </w:rPr>
            </w:pPr>
            <w:r w:rsidRPr="006A56D3">
              <w:rPr>
                <w:rFonts w:cs="Times New Roman"/>
                <w:b/>
                <w:sz w:val="28"/>
                <w:szCs w:val="28"/>
              </w:rPr>
              <w:t>Độc lập - Tự do - Hạnh phúc</w:t>
            </w:r>
          </w:p>
          <w:p w14:paraId="2ABC184B" w14:textId="77777777" w:rsidR="009D255E" w:rsidRPr="006A56D3" w:rsidRDefault="00F2411A">
            <w:pPr>
              <w:spacing w:after="0" w:line="240" w:lineRule="auto"/>
              <w:jc w:val="center"/>
              <w:rPr>
                <w:rFonts w:cs="Times New Roman"/>
              </w:rPr>
            </w:pPr>
            <w:r w:rsidRPr="006A56D3">
              <w:rPr>
                <w:rFonts w:cs="Times New Roman"/>
                <w:noProof/>
              </w:rPr>
              <mc:AlternateContent>
                <mc:Choice Requires="wps">
                  <w:drawing>
                    <wp:anchor distT="0" distB="0" distL="114300" distR="114300" simplePos="0" relativeHeight="251661312" behindDoc="0" locked="1" layoutInCell="1" allowOverlap="1" wp14:anchorId="40CEC86A" wp14:editId="57EB58E2">
                      <wp:simplePos x="0" y="0"/>
                      <wp:positionH relativeFrom="column">
                        <wp:align>center</wp:align>
                      </wp:positionH>
                      <wp:positionV relativeFrom="paragraph">
                        <wp:posOffset>32629</wp:posOffset>
                      </wp:positionV>
                      <wp:extent cx="2192400" cy="0"/>
                      <wp:effectExtent l="0" t="0" r="36830" b="19050"/>
                      <wp:wrapNone/>
                      <wp:docPr id="2" name="Straight Connector 2"/>
                      <wp:cNvGraphicFramePr/>
                      <a:graphic xmlns:a="http://schemas.openxmlformats.org/drawingml/2006/main">
                        <a:graphicData uri="http://schemas.microsoft.com/office/word/2010/wordprocessingShape">
                          <wps:wsp>
                            <wps:cNvCnPr/>
                            <wps:spPr>
                              <a:xfrm>
                                <a:off x="0" y="0"/>
                                <a:ext cx="2192400" cy="0"/>
                              </a:xfrm>
                              <a:prstGeom prst="line">
                                <a:avLst/>
                              </a:prstGeom>
                              <a:ln>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xmlns:w16cei="http://schemas.microsoft.com/office/word/2026/wordml/cei">
                  <w:pict>
                    <v:line w14:anchorId="228C03B1" id="Straight Connector 2" o:spid="_x0000_s1026" style="position:absolute;z-index:251661312;visibility:visible;mso-wrap-style:square;mso-width-percent:0;mso-wrap-distance-left:9pt;mso-wrap-distance-top:0;mso-wrap-distance-right:9pt;mso-wrap-distance-bottom:0;mso-position-horizontal:center;mso-position-horizontal-relative:text;mso-position-vertical:absolute;mso-position-vertical-relative:text;mso-width-percent:0;mso-width-relative:margin" from="0,2.55pt" to="172.65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" strokecolor="black [3213]">
                      <w10:anchorlock/>
                    </v:line>
                  </w:pict>
                </mc:Fallback>
              </mc:AlternateContent>
            </w:r>
          </w:p>
          <w:p w14:paraId="0CFCAC2C" w14:textId="2E16F0F8" w:rsidR="009D255E" w:rsidRPr="006A56D3" w:rsidRDefault="00395F73">
            <w:pPr>
              <w:spacing w:after="0" w:line="240" w:lineRule="auto"/>
              <w:jc w:val="center"/>
              <w:rPr>
                <w:rFonts w:cs="Times New Roman"/>
              </w:rPr>
            </w:pPr>
            <w:r w:rsidRPr="006A56D3">
              <w:rPr>
                <w:rFonts w:cs="Times New Roman"/>
                <w:i/>
                <w:sz w:val="26"/>
              </w:rPr>
              <w:t>Thành phố Hồ Chí Minh, ngày     tháng     năm</w:t>
            </w:r>
            <w:r w:rsidR="006A56D3">
              <w:rPr>
                <w:rFonts w:cs="Times New Roman"/>
                <w:i/>
                <w:sz w:val="26"/>
              </w:rPr>
              <w:t xml:space="preserve"> 2026</w:t>
            </w:r>
            <w:r w:rsidRPr="006A56D3">
              <w:rPr>
                <w:rFonts w:cs="Times New Roman"/>
                <w:i/>
                <w:sz w:val="26"/>
              </w:rPr>
              <w:t xml:space="preserve"> </w:t>
            </w:r>
            <w:r w:rsidR="006A56D3" w:rsidRPr="006A56D3">
              <w:rPr>
                <w:rFonts w:cs="Times New Roman"/>
                <w:i/>
                <w:sz w:val="26"/>
              </w:rPr>
              <w:t xml:space="preserve">     </w:t>
            </w:r>
          </w:p>
        </w:tc>
      </w:tr>
    </w:tbl>
    <w:p w14:paraId="6073A219" w14:textId="77777777" w:rsidR="00F2411A" w:rsidRPr="006A56D3" w:rsidRDefault="00F2411A">
      <w:pPr>
        <w:spacing w:after="0" w:line="240" w:lineRule="auto"/>
        <w:jc w:val="center"/>
        <w:rPr>
          <w:rFonts w:cs="Times New Roman"/>
          <w:b/>
          <w:sz w:val="26"/>
        </w:rPr>
      </w:pPr>
    </w:p>
    <w:p w14:paraId="257B8E80" w14:textId="77777777" w:rsidR="00621AAE" w:rsidRDefault="00621AAE" w:rsidP="00997BBA">
      <w:pPr>
        <w:spacing w:after="80"/>
        <w:jc w:val="center"/>
      </w:pPr>
      <w:r>
        <w:rPr>
          <w:b/>
          <w:color w:val="000000"/>
          <w:sz w:val="28"/>
        </w:rPr>
        <w:t>BẢN SO SÁNH, THUYẾT MINH</w:t>
      </w:r>
    </w:p>
    <w:p w14:paraId="10168C5C" w14:textId="77777777" w:rsidR="00621AAE" w:rsidRDefault="00621AAE" w:rsidP="00997BBA">
      <w:pPr>
        <w:spacing w:after="80"/>
        <w:jc w:val="center"/>
      </w:pPr>
      <w:r>
        <w:rPr>
          <w:b/>
          <w:color w:val="000000"/>
          <w:sz w:val="28"/>
        </w:rPr>
        <w:t>QUY ĐỊNH KHOÁN CHI TRONG THỰC HIỆN NHIỆM VỤ, DỰ ÁN, ĐỀ ÁN KHOA HỌC, CÔNG NGHỆ VÀ ĐỔI MỚI SÁNG TẠO CÓ SỬ DỤNG NGÂN SÁCH THÀNH PHỐ</w:t>
      </w:r>
    </w:p>
    <w:p w14:paraId="4C136051" w14:textId="77777777" w:rsidR="00621AAE" w:rsidRDefault="00621AAE" w:rsidP="00621AAE">
      <w:pPr>
        <w:spacing w:after="160"/>
        <w:jc w:val="center"/>
        <w:rPr>
          <w:i/>
          <w:color w:val="000000"/>
        </w:rPr>
      </w:pPr>
      <w:r>
        <w:rPr>
          <w:i/>
          <w:color w:val="000000"/>
          <w:sz w:val="26"/>
        </w:rPr>
        <w:t>(Thực hiện nội dung nêu tại điểm a khoản 3 Điều 30 - Luật Phát triển đô thị)</w:t>
      </w:r>
    </w:p>
    <w:tbl>
      <w:tblPr>
        <w:tblStyle w:val="TableGrid"/>
        <w:tblW w:w="0" w:type="auto"/>
        <w:jc w:val="center"/>
        <w:tblLook w:val="04A0" w:firstRow="1" w:lastRow="0" w:firstColumn="1" w:lastColumn="0" w:noHBand="0" w:noVBand="1"/>
      </w:tblPr>
      <w:tblGrid>
        <w:gridCol w:w="3571"/>
        <w:gridCol w:w="5709"/>
        <w:gridCol w:w="4996"/>
      </w:tblGrid>
      <w:tr w:rsidR="00621AAE" w14:paraId="0D8A2AA4" w14:textId="77777777" w:rsidTr="006749A2">
        <w:trPr>
          <w:tblHeader/>
          <w:jc w:val="center"/>
        </w:trPr>
        <w:tc>
          <w:tcPr>
            <w:tcW w:w="3571" w:type="dxa"/>
            <w:shd w:val="clear" w:color="auto" w:fill="D9D9D9"/>
          </w:tcPr>
          <w:p w14:paraId="3B320628" w14:textId="64B5A478" w:rsidR="00621AAE" w:rsidRDefault="00621AAE" w:rsidP="00997BBA">
            <w:pPr>
              <w:spacing w:after="40"/>
              <w:jc w:val="center"/>
            </w:pPr>
            <w:r>
              <w:rPr>
                <w:b/>
                <w:color w:val="000000"/>
                <w:sz w:val="26"/>
              </w:rPr>
              <w:t xml:space="preserve">VĂN BẢN QPPL </w:t>
            </w:r>
            <w:r>
              <w:rPr>
                <w:b/>
                <w:color w:val="000000"/>
                <w:sz w:val="26"/>
              </w:rPr>
              <w:br/>
              <w:t>HIỆN HÀNH</w:t>
            </w:r>
          </w:p>
        </w:tc>
        <w:tc>
          <w:tcPr>
            <w:tcW w:w="5709" w:type="dxa"/>
            <w:shd w:val="clear" w:color="auto" w:fill="D9D9D9"/>
          </w:tcPr>
          <w:p w14:paraId="092308FF" w14:textId="77777777" w:rsidR="00621AAE" w:rsidRDefault="00621AAE" w:rsidP="00621AAE">
            <w:pPr>
              <w:spacing w:after="40"/>
              <w:jc w:val="center"/>
            </w:pPr>
            <w:r>
              <w:rPr>
                <w:b/>
                <w:color w:val="000000"/>
                <w:sz w:val="26"/>
              </w:rPr>
              <w:t>DỰ THẢO QUY ĐỊNH</w:t>
            </w:r>
          </w:p>
        </w:tc>
        <w:tc>
          <w:tcPr>
            <w:tcW w:w="4996" w:type="dxa"/>
            <w:shd w:val="clear" w:color="auto" w:fill="D9D9D9"/>
          </w:tcPr>
          <w:p w14:paraId="201CD7A9" w14:textId="77777777" w:rsidR="00621AAE" w:rsidRDefault="00621AAE" w:rsidP="00621AAE">
            <w:pPr>
              <w:spacing w:after="40"/>
              <w:jc w:val="center"/>
            </w:pPr>
            <w:r>
              <w:rPr>
                <w:b/>
                <w:color w:val="000000"/>
                <w:sz w:val="26"/>
              </w:rPr>
              <w:t>THUYẾT MINH</w:t>
            </w:r>
          </w:p>
        </w:tc>
      </w:tr>
      <w:tr w:rsidR="00621AAE" w14:paraId="535D1E09" w14:textId="77777777" w:rsidTr="006749A2">
        <w:trPr>
          <w:jc w:val="center"/>
        </w:trPr>
        <w:tc>
          <w:tcPr>
            <w:tcW w:w="14276" w:type="dxa"/>
            <w:gridSpan w:val="3"/>
            <w:shd w:val="clear" w:color="auto" w:fill="D9D9D9"/>
          </w:tcPr>
          <w:p w14:paraId="64BA1FA6" w14:textId="77777777" w:rsidR="00621AAE" w:rsidRDefault="00621AAE" w:rsidP="00621AAE">
            <w:pPr>
              <w:spacing w:after="40"/>
              <w:jc w:val="both"/>
            </w:pPr>
            <w:r>
              <w:rPr>
                <w:b/>
                <w:color w:val="000000"/>
                <w:sz w:val="26"/>
              </w:rPr>
              <w:t>Chương I. QUY ĐỊNH CHUNG</w:t>
            </w:r>
          </w:p>
        </w:tc>
      </w:tr>
      <w:tr w:rsidR="00621AAE" w14:paraId="6E6454AA" w14:textId="77777777" w:rsidTr="006749A2">
        <w:trPr>
          <w:jc w:val="center"/>
        </w:trPr>
        <w:tc>
          <w:tcPr>
            <w:tcW w:w="3571" w:type="dxa"/>
          </w:tcPr>
          <w:p w14:paraId="0E48CE80" w14:textId="77777777" w:rsidR="00621AAE" w:rsidRDefault="00621AAE" w:rsidP="00997BBA">
            <w:pPr>
              <w:spacing w:after="40"/>
              <w:rPr>
                <w:b/>
                <w:color w:val="000000"/>
                <w:sz w:val="26"/>
              </w:rPr>
            </w:pPr>
            <w:r>
              <w:rPr>
                <w:b/>
                <w:color w:val="000000"/>
                <w:sz w:val="26"/>
              </w:rPr>
              <w:t>Điều 1. Phạm vi điều chỉnh</w:t>
            </w:r>
          </w:p>
          <w:p w14:paraId="1A26CA69" w14:textId="77777777" w:rsidR="005879DD" w:rsidRDefault="005879DD" w:rsidP="005879DD">
            <w:pPr>
              <w:spacing w:after="40"/>
            </w:pPr>
            <w:r>
              <w:t>Điều 1. Phạm vi điều chỉnh</w:t>
            </w:r>
          </w:p>
          <w:p w14:paraId="5D2FE3AD" w14:textId="77777777" w:rsidR="005879DD" w:rsidRDefault="005879DD" w:rsidP="005879DD">
            <w:r>
              <w:t>- Luật Khoa học, công nghệ và đổi mới sáng tạo số 93/2025/QH15, Điều 3 (phạm vi điều chỉnh);</w:t>
            </w:r>
          </w:p>
          <w:p w14:paraId="113E5345" w14:textId="77777777" w:rsidR="005879DD" w:rsidRDefault="005879DD" w:rsidP="005879DD">
            <w:r>
              <w:t>- Luật Ngân sách nhà nước số 89/2025/QH15, Điều 4 (phạm vi điều chỉnh ngân sách nhà nước);</w:t>
            </w:r>
          </w:p>
          <w:p w14:paraId="36562D57" w14:textId="1F0D355E" w:rsidR="005879DD" w:rsidRDefault="005879DD" w:rsidP="005879DD">
            <w:pPr>
              <w:spacing w:after="40"/>
            </w:pPr>
            <w:r>
              <w:t>- Nghị định số 265/2025/NĐ-CP, Điều 1 (phạm vi điều chỉnh).</w:t>
            </w:r>
          </w:p>
        </w:tc>
        <w:tc>
          <w:tcPr>
            <w:tcW w:w="5709" w:type="dxa"/>
          </w:tcPr>
          <w:p w14:paraId="231635EE" w14:textId="77777777" w:rsidR="00621AAE" w:rsidRDefault="00621AAE" w:rsidP="00621AAE">
            <w:pPr>
              <w:spacing w:after="40"/>
              <w:jc w:val="both"/>
            </w:pPr>
            <w:r>
              <w:rPr>
                <w:b/>
                <w:color w:val="000000"/>
                <w:sz w:val="26"/>
              </w:rPr>
              <w:t>Điều 1. Phạm vi điều chỉnh</w:t>
            </w:r>
          </w:p>
          <w:p w14:paraId="4B475488" w14:textId="77777777" w:rsidR="00080F05" w:rsidRDefault="00080F05" w:rsidP="00080F05">
            <w:pPr>
              <w:spacing w:before="120" w:after="120"/>
              <w:ind w:firstLine="567"/>
              <w:jc w:val="both"/>
            </w:pPr>
            <w:r>
              <w:t>1. Quy định này quy định nguyên tắc, điều kiện, phương thức thực hiện khoán chi; quản lý, sử dụng, điều chỉnh, thanh toán, quyết toán kinh phí; quyền, trách nhiệm của các cơ quan, tổ chức, cá nhân và công tác kiểm tra, giám sát, quản trị rủi ro đối với nhiệm vụ khoa học, công nghệ và đổi mới sáng tạo sử dụng ngân sách Thành phố Hồ Chí Minh.</w:t>
            </w:r>
          </w:p>
          <w:p w14:paraId="0A82CA6A" w14:textId="77777777" w:rsidR="00080F05" w:rsidRDefault="00080F05" w:rsidP="00080F05">
            <w:pPr>
              <w:spacing w:before="120" w:after="120"/>
              <w:ind w:firstLine="567"/>
              <w:jc w:val="both"/>
              <w:rPr>
                <w:color w:val="FF0000"/>
              </w:rPr>
            </w:pPr>
            <w:r>
              <w:t xml:space="preserve">2. Quy định này áp dụng đối với nhiệm vụ, đề án, dự án khoa học, công nghệ và đổi mới sáng tạo Thành phố, nhiệm vụ khoa học, công nghệ và đổi mới sáng tạo cơ sở; nhiệm vụ khoa học, công nghệ và đổi mới sáng tạo khác có sử dụng ngân sách Thành phố </w:t>
            </w:r>
            <w:r>
              <w:rPr>
                <w:color w:val="FF0000"/>
              </w:rPr>
              <w:t>(sau đây gọi tắt là nhiệm vụ)</w:t>
            </w:r>
          </w:p>
          <w:p w14:paraId="261F9E57" w14:textId="138ABEAD" w:rsidR="00621AAE" w:rsidRDefault="00080F05" w:rsidP="00080F05">
            <w:pPr>
              <w:spacing w:before="120" w:after="120"/>
              <w:ind w:firstLine="567"/>
              <w:jc w:val="both"/>
            </w:pPr>
            <w:r>
              <w:t xml:space="preserve">3. Đối với nhiệm vụ có nguồn vốn hỗn hợp, phần kinh phí từ ngân sách Thành phố thực hiện theo Quy định này, phần kinh phí đối ứng, tài trợ thực hiện theo thỏa </w:t>
            </w:r>
            <w:r>
              <w:lastRenderedPageBreak/>
              <w:t>thuận tại hợp đồng và quy định pháp luật liên quan, bảo đảm không trùng lặp nội dung chi.</w:t>
            </w:r>
          </w:p>
        </w:tc>
        <w:tc>
          <w:tcPr>
            <w:tcW w:w="4996" w:type="dxa"/>
          </w:tcPr>
          <w:p w14:paraId="260A2FE5" w14:textId="77777777" w:rsidR="00621AAE" w:rsidRDefault="00621AAE" w:rsidP="00621AAE">
            <w:pPr>
              <w:spacing w:after="40"/>
              <w:jc w:val="both"/>
            </w:pPr>
            <w:r>
              <w:rPr>
                <w:b/>
                <w:color w:val="000000"/>
                <w:sz w:val="26"/>
              </w:rPr>
              <w:lastRenderedPageBreak/>
              <w:t>Kế thừa và cụ thể hóa</w:t>
            </w:r>
          </w:p>
          <w:p w14:paraId="6FDC382F" w14:textId="77777777" w:rsidR="00621AAE" w:rsidRDefault="00621AAE" w:rsidP="00621AAE">
            <w:pPr>
              <w:spacing w:after="40"/>
              <w:jc w:val="both"/>
            </w:pPr>
            <w:r>
              <w:rPr>
                <w:color w:val="000000"/>
                <w:sz w:val="26"/>
              </w:rPr>
              <w:t>Phạm vi chỉ điều chỉnh phần kinh phí từ ngân sách Thành phố, phù hợp thẩm quyền địa phương; khoản 3 xử lý nhiệm vụ có nguồn vốn hỗn hợp theo nguyên tắc không trùng lặp nội dung chi (phù hợp nguyên tắc quản lý ngân sách nhà nước tại Luật Ngân sách nhà nước và cơ chế tài chính nhiệm vụ KHCN&amp;ĐMST tại Nghị định số 265/2025/NĐ-CP).</w:t>
            </w:r>
          </w:p>
        </w:tc>
      </w:tr>
      <w:tr w:rsidR="00621AAE" w14:paraId="71FFE36D" w14:textId="77777777" w:rsidTr="006749A2">
        <w:trPr>
          <w:jc w:val="center"/>
        </w:trPr>
        <w:tc>
          <w:tcPr>
            <w:tcW w:w="3571" w:type="dxa"/>
          </w:tcPr>
          <w:p w14:paraId="6261B7ED" w14:textId="77777777" w:rsidR="00621AAE" w:rsidRDefault="00621AAE" w:rsidP="00997BBA">
            <w:pPr>
              <w:spacing w:after="40"/>
              <w:rPr>
                <w:b/>
                <w:color w:val="000000"/>
                <w:sz w:val="26"/>
              </w:rPr>
            </w:pPr>
            <w:r>
              <w:rPr>
                <w:b/>
                <w:color w:val="000000"/>
                <w:sz w:val="26"/>
              </w:rPr>
              <w:t>Điều 2. Đối tượng áp dụng</w:t>
            </w:r>
          </w:p>
          <w:p w14:paraId="59D9DA0F" w14:textId="77777777" w:rsidR="005879DD" w:rsidRDefault="005879DD" w:rsidP="005879DD">
            <w:r>
              <w:t>- Luật Khoa học, công nghệ và đổi mới sáng tạo số 93/2025/QH15, Điều 4 (đối tượng áp dụng);</w:t>
            </w:r>
          </w:p>
          <w:p w14:paraId="158F5EEC" w14:textId="77777777" w:rsidR="005879DD" w:rsidRDefault="005879DD" w:rsidP="005879DD">
            <w:r>
              <w:t>- Luật Ngân sách nhà nước số 89/2025/QH15, Điều 5 (đối tượng áp dụng);</w:t>
            </w:r>
          </w:p>
          <w:p w14:paraId="1A10E5B0" w14:textId="383945AC" w:rsidR="005879DD" w:rsidRDefault="005879DD" w:rsidP="005879DD">
            <w:pPr>
              <w:spacing w:after="40"/>
            </w:pPr>
            <w:r>
              <w:t>- Nghị định số 265/2025/NĐ-CP, Điều 2 (đối tượng áp dụng).</w:t>
            </w:r>
          </w:p>
        </w:tc>
        <w:tc>
          <w:tcPr>
            <w:tcW w:w="5709" w:type="dxa"/>
          </w:tcPr>
          <w:p w14:paraId="15484205" w14:textId="77777777" w:rsidR="00621AAE" w:rsidRDefault="00621AAE" w:rsidP="00621AAE">
            <w:pPr>
              <w:spacing w:after="40"/>
              <w:jc w:val="both"/>
            </w:pPr>
            <w:r>
              <w:rPr>
                <w:b/>
                <w:color w:val="000000"/>
                <w:sz w:val="26"/>
              </w:rPr>
              <w:t>Điều 2. Đối tượng áp dụng</w:t>
            </w:r>
          </w:p>
          <w:p w14:paraId="42EDC66E" w14:textId="77777777" w:rsidR="00080F05" w:rsidRDefault="00080F05" w:rsidP="00080F05">
            <w:pPr>
              <w:spacing w:before="120" w:after="120"/>
              <w:ind w:firstLine="567"/>
              <w:jc w:val="both"/>
            </w:pPr>
            <w:r>
              <w:t>1. Cơ quan quản lý nhà nước, cơ quan có thẩm quyền phê duyệt, đặt hàng, giao nhiệm vụ và quản lý nhiệm vụ khoa học, công nghệ và đổi mới sáng tạo của Thành phố Hồ Chí Minh.</w:t>
            </w:r>
          </w:p>
          <w:p w14:paraId="36E24932" w14:textId="77777777" w:rsidR="00080F05" w:rsidRDefault="00080F05" w:rsidP="00080F05">
            <w:pPr>
              <w:spacing w:before="120" w:after="120"/>
              <w:ind w:firstLine="567"/>
              <w:jc w:val="both"/>
            </w:pPr>
            <w:r>
              <w:t>2. Tổ chức chủ trì, chủ nhiệm nhiệm vụ và các tổ chức, cá nhân tham gia thực hiện nhiệm vụ.</w:t>
            </w:r>
          </w:p>
          <w:p w14:paraId="221ED7D6" w14:textId="77777777" w:rsidR="00080F05" w:rsidRDefault="00080F05" w:rsidP="00080F05">
            <w:pPr>
              <w:spacing w:before="120" w:after="120"/>
              <w:ind w:firstLine="567"/>
              <w:jc w:val="both"/>
            </w:pPr>
            <w:r>
              <w:t>3. Cơ quan kiểm soát chi (Kho bạc Nhà nước); Quỹ Phát triển khoa học, công nghệ và đổi mới sáng tạo Thành phố Hồ Chí Minh; các chuyên gia, hội đồng tư vấn và các cơ quan, tổ chức, cá nhân khác có liên quan.</w:t>
            </w:r>
          </w:p>
          <w:p w14:paraId="10196C52" w14:textId="77777777" w:rsidR="00080F05" w:rsidRDefault="00080F05" w:rsidP="00621AAE">
            <w:pPr>
              <w:spacing w:after="40"/>
              <w:jc w:val="both"/>
            </w:pPr>
          </w:p>
        </w:tc>
        <w:tc>
          <w:tcPr>
            <w:tcW w:w="4996" w:type="dxa"/>
          </w:tcPr>
          <w:p w14:paraId="3A5D499A" w14:textId="77777777" w:rsidR="00621AAE" w:rsidRDefault="00621AAE" w:rsidP="00621AAE">
            <w:pPr>
              <w:spacing w:after="40"/>
              <w:jc w:val="both"/>
            </w:pPr>
            <w:r>
              <w:rPr>
                <w:b/>
                <w:color w:val="000000"/>
                <w:sz w:val="26"/>
              </w:rPr>
              <w:t>Quy định chi tiết</w:t>
            </w:r>
          </w:p>
          <w:p w14:paraId="1C5F3315" w14:textId="77777777" w:rsidR="00621AAE" w:rsidRDefault="00621AAE" w:rsidP="00621AAE">
            <w:pPr>
              <w:spacing w:after="40"/>
              <w:jc w:val="both"/>
              <w:rPr>
                <w:color w:val="000000"/>
                <w:sz w:val="26"/>
              </w:rPr>
            </w:pPr>
            <w:r>
              <w:rPr>
                <w:color w:val="000000"/>
                <w:sz w:val="26"/>
              </w:rPr>
              <w:t>Phù hợp đối tượng áp dụng của Luật KHCN&amp;ĐMST và cơ chế kiểm soát chi qua Kho bạc Nhà nước theo Luật Ngân sách nhà nước; chỉ quy định trong giới hạn thẩm quyền quản lý của Thành phố.</w:t>
            </w:r>
          </w:p>
          <w:p w14:paraId="0B3775C3" w14:textId="77777777" w:rsidR="00080F05" w:rsidRDefault="00080F05" w:rsidP="00080F05">
            <w:pPr>
              <w:spacing w:after="40"/>
              <w:jc w:val="both"/>
              <w:rPr>
                <w:color w:val="000000"/>
                <w:sz w:val="26"/>
              </w:rPr>
            </w:pPr>
            <w:r>
              <w:rPr>
                <w:color w:val="000000"/>
                <w:sz w:val="26"/>
              </w:rPr>
              <w:t>Xác định 03 nhóm: (1) cơ quan quản lý/đặt hàng; (2) tổ chức chủ trì, chủ nhiệm và tổ chức, cá nhân tham gia; (3) cơ quan kiểm soát chi (Kho bạc Nhà nước), Quỹ Phát triển KHCN&amp;ĐMST Thành phố, hội đồng tư vấn.</w:t>
            </w:r>
          </w:p>
          <w:p w14:paraId="27DD5B2F" w14:textId="77777777" w:rsidR="00080F05" w:rsidRDefault="00080F05" w:rsidP="00621AAE">
            <w:pPr>
              <w:spacing w:after="40"/>
              <w:jc w:val="both"/>
            </w:pPr>
          </w:p>
        </w:tc>
      </w:tr>
      <w:tr w:rsidR="005879DD" w14:paraId="5B370508" w14:textId="77777777" w:rsidTr="006749A2">
        <w:trPr>
          <w:jc w:val="center"/>
        </w:trPr>
        <w:tc>
          <w:tcPr>
            <w:tcW w:w="3571" w:type="dxa"/>
          </w:tcPr>
          <w:p w14:paraId="5A3B3897" w14:textId="77777777" w:rsidR="005879DD" w:rsidRPr="005879DD" w:rsidRDefault="005879DD" w:rsidP="005879DD">
            <w:pPr>
              <w:spacing w:after="40"/>
              <w:rPr>
                <w:b/>
                <w:bCs/>
              </w:rPr>
            </w:pPr>
            <w:r w:rsidRPr="005879DD">
              <w:rPr>
                <w:b/>
                <w:bCs/>
              </w:rPr>
              <w:t>Điều 3. Giải thích từ ngữ</w:t>
            </w:r>
          </w:p>
          <w:p w14:paraId="2CF6D731" w14:textId="77777777" w:rsidR="005879DD" w:rsidRDefault="005879DD" w:rsidP="005879DD">
            <w:r>
              <w:t>- Luật Khoa học, công nghệ và đổi mới sáng tạo số 93/2025/QH15, Điều 2 (giải thích từ ngữ);</w:t>
            </w:r>
          </w:p>
          <w:p w14:paraId="00C4C623" w14:textId="14AA4094" w:rsidR="005879DD" w:rsidRDefault="005879DD" w:rsidP="005879DD">
            <w:pPr>
              <w:spacing w:after="40"/>
            </w:pPr>
            <w:r>
              <w:t>- Nghị định số 265/2025/NĐ-CP, Điều 3 (giải thích từ ngữ).</w:t>
            </w:r>
          </w:p>
        </w:tc>
        <w:tc>
          <w:tcPr>
            <w:tcW w:w="5709" w:type="dxa"/>
          </w:tcPr>
          <w:p w14:paraId="17F1D1CF" w14:textId="77777777" w:rsidR="005879DD" w:rsidRDefault="005879DD" w:rsidP="005879DD">
            <w:pPr>
              <w:spacing w:after="40"/>
              <w:jc w:val="both"/>
            </w:pPr>
            <w:r>
              <w:rPr>
                <w:b/>
                <w:color w:val="000000"/>
                <w:sz w:val="26"/>
              </w:rPr>
              <w:t>Điều 3. Giải thích từ ngữ</w:t>
            </w:r>
          </w:p>
          <w:p w14:paraId="643768FA" w14:textId="77777777" w:rsidR="00080F05" w:rsidRDefault="00080F05" w:rsidP="00080F05">
            <w:pPr>
              <w:spacing w:after="120"/>
              <w:ind w:firstLine="567"/>
              <w:jc w:val="both"/>
            </w:pPr>
            <w:r>
              <w:t>1. Nhiệm vụ được quy định tại Quy định này bao gồm: nhiệm vụ, đề án, dự án khoa học, công nghệ và đổi mới sáng tạo Thành phố, nhiệm vụ khoa học, công nghệ và đổi mới sáng tạo cơ sở; nhiệm vụ khoa học, công nghệ và đổi mới sáng tạo khác có sử dụng ngân sách Thành phố sử dụng toàn bộ hoặc một phần ngân sách Thành phố Hồ Chí Minh.</w:t>
            </w:r>
          </w:p>
          <w:p w14:paraId="3CC31F41" w14:textId="77777777" w:rsidR="00080F05" w:rsidRDefault="00080F05" w:rsidP="00080F05">
            <w:pPr>
              <w:spacing w:after="120"/>
              <w:ind w:firstLine="567"/>
              <w:jc w:val="both"/>
            </w:pPr>
            <w:r>
              <w:t>2. Khoán chi: Là phương thức giao quyền tự chủ tài chính cho tổ chức chủ trì và chủ nhiệm nhiệm vụ trên cơ sở định mức, dự toán và chỉ tiêu chất lượng sản phẩm đầu ra được phê duyệt, không yêu cầu kiểm soát chứng từ chi tiết đối với phần kinh phí được khoán khi thanh toán, quyết toán.</w:t>
            </w:r>
          </w:p>
          <w:p w14:paraId="330AA24E" w14:textId="1689EC63" w:rsidR="005879DD" w:rsidRDefault="00080F05" w:rsidP="00080F05">
            <w:pPr>
              <w:spacing w:after="120"/>
              <w:ind w:firstLine="567"/>
              <w:jc w:val="both"/>
            </w:pPr>
            <w:r>
              <w:lastRenderedPageBreak/>
              <w:t>3. Kinh phí khoán chi chưa sử dụng hết (kinh phí khoán còn dư): Là phần chênh lệch dương giữa tổng kinh phí khoán chi được giao theo hợp đồng và số kinh phí thực tế tổ chức chủ trì đã chi để hoàn thành nhiệm vụ sau khi được đánh giá, nghiệm thu đạt yêu cầu.</w:t>
            </w:r>
          </w:p>
        </w:tc>
        <w:tc>
          <w:tcPr>
            <w:tcW w:w="4996" w:type="dxa"/>
          </w:tcPr>
          <w:p w14:paraId="3A0160D7" w14:textId="77777777" w:rsidR="005879DD" w:rsidRDefault="005879DD" w:rsidP="005879DD">
            <w:pPr>
              <w:spacing w:after="40"/>
              <w:jc w:val="both"/>
            </w:pPr>
            <w:r>
              <w:rPr>
                <w:b/>
                <w:color w:val="000000"/>
                <w:sz w:val="26"/>
              </w:rPr>
              <w:lastRenderedPageBreak/>
              <w:t>Kế thừa</w:t>
            </w:r>
          </w:p>
          <w:p w14:paraId="61ECF9C6" w14:textId="33495387" w:rsidR="005879DD" w:rsidRDefault="005879DD" w:rsidP="005879DD">
            <w:pPr>
              <w:spacing w:after="40"/>
              <w:jc w:val="both"/>
            </w:pPr>
            <w:r>
              <w:rPr>
                <w:color w:val="000000"/>
                <w:sz w:val="26"/>
              </w:rPr>
              <w:t>Kế thừa khái niệm “khoán chi”, “kinh phí khoán chi chưa sử dụng hết” từ Nghị định số 265/2025/NĐ-CP; bảo đảm thống nhất thuật ngữ với Luật KHCN&amp;ĐMST</w:t>
            </w:r>
            <w:r w:rsidR="00080F05">
              <w:rPr>
                <w:color w:val="000000"/>
                <w:sz w:val="26"/>
              </w:rPr>
              <w:t>.</w:t>
            </w:r>
          </w:p>
        </w:tc>
      </w:tr>
      <w:tr w:rsidR="005879DD" w14:paraId="641D36DB" w14:textId="77777777" w:rsidTr="006749A2">
        <w:trPr>
          <w:jc w:val="center"/>
        </w:trPr>
        <w:tc>
          <w:tcPr>
            <w:tcW w:w="3571" w:type="dxa"/>
          </w:tcPr>
          <w:p w14:paraId="5233353E" w14:textId="77777777" w:rsidR="005879DD" w:rsidRPr="005879DD" w:rsidRDefault="005879DD" w:rsidP="005879DD">
            <w:pPr>
              <w:spacing w:after="40"/>
              <w:rPr>
                <w:b/>
                <w:bCs/>
              </w:rPr>
            </w:pPr>
            <w:r w:rsidRPr="005879DD">
              <w:rPr>
                <w:b/>
                <w:bCs/>
              </w:rPr>
              <w:t>Điều 4. Nguyên tắc khoán chi</w:t>
            </w:r>
          </w:p>
          <w:p w14:paraId="118E6A29" w14:textId="77777777" w:rsidR="005879DD" w:rsidRDefault="005879DD" w:rsidP="005879DD">
            <w:r>
              <w:t>- Luật Khoa học, công nghệ và đổi mới sáng tạo số 93/2025/QH15, Điều 5 (nguyên tắc hoạt động khoa học, công nghệ và đổi mới sáng tạo);</w:t>
            </w:r>
          </w:p>
          <w:p w14:paraId="1F8B6A2F" w14:textId="77777777" w:rsidR="005879DD" w:rsidRDefault="005879DD" w:rsidP="005879DD">
            <w:r>
              <w:t>- Luật Ngân sách nhà nước số 89/2025/QH15, Điều 6 (nguyên tắc quản lý ngân sách nhà nước);</w:t>
            </w:r>
          </w:p>
          <w:p w14:paraId="68C8F785" w14:textId="427544E5" w:rsidR="005879DD" w:rsidRDefault="005879DD" w:rsidP="005879DD">
            <w:pPr>
              <w:spacing w:after="40"/>
            </w:pPr>
            <w:r>
              <w:t>- Nghị định số 265/2025/NĐ-CP, Điều 10 (khoán chi).</w:t>
            </w:r>
          </w:p>
        </w:tc>
        <w:tc>
          <w:tcPr>
            <w:tcW w:w="5709" w:type="dxa"/>
          </w:tcPr>
          <w:p w14:paraId="00CC8D93" w14:textId="77777777" w:rsidR="005879DD" w:rsidRDefault="005879DD" w:rsidP="005879DD">
            <w:pPr>
              <w:spacing w:after="40"/>
              <w:jc w:val="both"/>
            </w:pPr>
            <w:r>
              <w:rPr>
                <w:b/>
                <w:color w:val="000000"/>
                <w:sz w:val="26"/>
              </w:rPr>
              <w:t>Điều 4. Nguyên tắc khoán chi</w:t>
            </w:r>
          </w:p>
          <w:p w14:paraId="154E8963" w14:textId="77777777" w:rsidR="00080F05" w:rsidRDefault="00080F05" w:rsidP="00080F05">
            <w:pPr>
              <w:spacing w:after="120"/>
              <w:ind w:firstLine="567"/>
              <w:jc w:val="both"/>
            </w:pPr>
            <w:r>
              <w:t>1. Gắn quyền tự chủ tài chính với kết quả đầu ra: Lấy kết quả thực hiện, sản phẩm và chỉ tiêu chất lượng đã cam kết làm căn cứ để thanh toán và quyết toán.</w:t>
            </w:r>
          </w:p>
          <w:p w14:paraId="00F95689" w14:textId="77777777" w:rsidR="00080F05" w:rsidRDefault="00080F05" w:rsidP="00080F05">
            <w:pPr>
              <w:spacing w:after="120"/>
              <w:ind w:firstLine="567"/>
              <w:jc w:val="both"/>
            </w:pPr>
            <w:r>
              <w:t>2. Đảm bảo tính công khai, minh bạch, trách nhiệm giải trình và quản trị rủi ro của tổ chức chủ trì trong suốt quá trình sử dụng ngân sách nhà nước.</w:t>
            </w:r>
          </w:p>
          <w:p w14:paraId="787988C1" w14:textId="77777777" w:rsidR="00080F05" w:rsidRDefault="00080F05" w:rsidP="00080F05">
            <w:pPr>
              <w:spacing w:after="120"/>
              <w:ind w:firstLine="567"/>
              <w:jc w:val="both"/>
            </w:pPr>
            <w:r>
              <w:t>3. Tuyệt đối nghiêm cấm việc lập dự toán, thanh toán hoặc quyết toán trùng lặp giữa nguồn ngân sách Thành phố với các nguồn kinh phí khác cho cùng một nội dung chi, cùng một khối lượng công việc.</w:t>
            </w:r>
          </w:p>
          <w:p w14:paraId="69803CC9" w14:textId="77777777" w:rsidR="00080F05" w:rsidRDefault="00080F05" w:rsidP="00080F05">
            <w:pPr>
              <w:spacing w:after="120"/>
              <w:ind w:firstLine="567"/>
              <w:jc w:val="both"/>
            </w:pPr>
            <w:r>
              <w:t xml:space="preserve">4. Không áp dụng khoán chi đối với các khoản </w:t>
            </w:r>
            <w:r>
              <w:rPr>
                <w:color w:val="FF0000"/>
              </w:rPr>
              <w:t xml:space="preserve">chi đầu tư xây dựng cơ bản, sửa chữa tài sản cố định hoặc mua sắm trang thiết bị, đoàn ra, </w:t>
            </w:r>
            <w:r w:rsidRPr="0010027D">
              <w:rPr>
                <w:color w:val="FF0000"/>
              </w:rPr>
              <w:t>dịch vụ ngoài khi chưa có tiêu chuẩn, định mức kinh tế - kỹ thuật</w:t>
            </w:r>
            <w:r>
              <w:rPr>
                <w:color w:val="FF0000"/>
              </w:rPr>
              <w:t>,</w:t>
            </w:r>
            <w:r>
              <w:t xml:space="preserve"> trừ trường hợp được phê duyệt cụ thể trong thuyết minh nhiệm vụ.</w:t>
            </w:r>
          </w:p>
          <w:p w14:paraId="425FF53A" w14:textId="5E203999" w:rsidR="005879DD" w:rsidRDefault="005879DD" w:rsidP="005879DD">
            <w:pPr>
              <w:spacing w:after="40"/>
              <w:jc w:val="both"/>
            </w:pPr>
          </w:p>
        </w:tc>
        <w:tc>
          <w:tcPr>
            <w:tcW w:w="4996" w:type="dxa"/>
          </w:tcPr>
          <w:p w14:paraId="764F8E15" w14:textId="77777777" w:rsidR="005879DD" w:rsidRDefault="005879DD" w:rsidP="005879DD">
            <w:pPr>
              <w:spacing w:after="40"/>
              <w:jc w:val="both"/>
            </w:pPr>
            <w:r>
              <w:rPr>
                <w:b/>
                <w:color w:val="000000"/>
                <w:sz w:val="26"/>
              </w:rPr>
              <w:t>Quy định chi tiết</w:t>
            </w:r>
          </w:p>
          <w:p w14:paraId="650AA307" w14:textId="34C9350C" w:rsidR="005879DD" w:rsidRDefault="005879DD" w:rsidP="005879DD">
            <w:pPr>
              <w:spacing w:after="40"/>
              <w:jc w:val="both"/>
            </w:pPr>
            <w:r>
              <w:rPr>
                <w:color w:val="000000"/>
                <w:sz w:val="26"/>
              </w:rPr>
              <w:t>Cụ thể hóa chủ trương chuyển từ quản lý đầu vào sang quản lý kết quả đầu ra; gắn tự chủ với trách nhiệm giải trình; nghiêm cấm trùng lặp nội dung chi giữa các nguồn kinh phí; không khoán đối với chi đầu tư xây dựng cơ bản, sửa chữa lớn, mua sắm thiết bị vì các khoản này thuộc phạm vi điều chỉnh của pháp luật về đầu tư công, đấu thầu, quản lý tài sản công.</w:t>
            </w:r>
          </w:p>
        </w:tc>
      </w:tr>
      <w:tr w:rsidR="00621AAE" w14:paraId="3B049BA5" w14:textId="77777777" w:rsidTr="006749A2">
        <w:trPr>
          <w:jc w:val="center"/>
        </w:trPr>
        <w:tc>
          <w:tcPr>
            <w:tcW w:w="14276" w:type="dxa"/>
            <w:gridSpan w:val="3"/>
            <w:shd w:val="clear" w:color="auto" w:fill="D9D9D9"/>
          </w:tcPr>
          <w:p w14:paraId="4FCE5E4D" w14:textId="2398B294" w:rsidR="00621AAE" w:rsidRDefault="00621AAE" w:rsidP="00621AAE">
            <w:pPr>
              <w:spacing w:after="40"/>
              <w:jc w:val="both"/>
            </w:pPr>
            <w:r>
              <w:rPr>
                <w:b/>
                <w:color w:val="000000"/>
                <w:sz w:val="26"/>
              </w:rPr>
              <w:t>Chương II. PHƯƠNG THỨC, ĐIỀU KIỆN ÁP DỤNG KHOÁN CHI</w:t>
            </w:r>
          </w:p>
        </w:tc>
      </w:tr>
      <w:tr w:rsidR="00621AAE" w14:paraId="0D4B5956" w14:textId="77777777" w:rsidTr="006749A2">
        <w:trPr>
          <w:jc w:val="center"/>
        </w:trPr>
        <w:tc>
          <w:tcPr>
            <w:tcW w:w="3571" w:type="dxa"/>
          </w:tcPr>
          <w:p w14:paraId="6A450147" w14:textId="77777777" w:rsidR="00621AAE" w:rsidRDefault="005879DD" w:rsidP="00997BBA">
            <w:pPr>
              <w:spacing w:after="40"/>
            </w:pPr>
            <w:r>
              <w:t>Nghị định số 265/2025/NĐ-CP, Điều 10, khoản 1 (khoán chi đến sản phẩm cuối cùng và khoán chi từng phần).</w:t>
            </w:r>
          </w:p>
          <w:p w14:paraId="6DC9C329" w14:textId="744EE3D8" w:rsidR="00080F05" w:rsidRDefault="00080F05" w:rsidP="00997BBA">
            <w:pPr>
              <w:spacing w:after="40"/>
            </w:pPr>
            <w:r>
              <w:lastRenderedPageBreak/>
              <w:t>- Nghị định số 265/2025/NĐ-CP, Điều 10, khoản 2 (điều kiện áp dụng khoán chi);</w:t>
            </w:r>
            <w:r>
              <w:br/>
              <w:t xml:space="preserve">- Nghị quyết số 24/2026/NQ-HĐND ngày 19/6/2026 của </w:t>
            </w:r>
          </w:p>
        </w:tc>
        <w:tc>
          <w:tcPr>
            <w:tcW w:w="5709" w:type="dxa"/>
          </w:tcPr>
          <w:p w14:paraId="7050FCEB" w14:textId="4B586735" w:rsidR="00621AAE" w:rsidRDefault="00621AAE" w:rsidP="00621AAE">
            <w:pPr>
              <w:spacing w:after="40"/>
              <w:jc w:val="both"/>
            </w:pPr>
            <w:r>
              <w:rPr>
                <w:b/>
                <w:color w:val="000000"/>
                <w:sz w:val="26"/>
              </w:rPr>
              <w:lastRenderedPageBreak/>
              <w:t>Điều 5. Phương thức</w:t>
            </w:r>
            <w:r w:rsidR="00080F05">
              <w:rPr>
                <w:b/>
                <w:color w:val="000000"/>
                <w:sz w:val="26"/>
              </w:rPr>
              <w:t>, điều kiện áp dụng</w:t>
            </w:r>
            <w:r>
              <w:rPr>
                <w:b/>
                <w:color w:val="000000"/>
                <w:sz w:val="26"/>
              </w:rPr>
              <w:t xml:space="preserve"> khoán chi</w:t>
            </w:r>
          </w:p>
          <w:p w14:paraId="68DA2CF3" w14:textId="77777777" w:rsidR="00080F05" w:rsidRDefault="00080F05" w:rsidP="00080F05">
            <w:pPr>
              <w:spacing w:after="120"/>
              <w:ind w:firstLine="567"/>
              <w:jc w:val="both"/>
            </w:pPr>
            <w:r>
              <w:t>Phương thức và điều kiện áp dụng khoán chi thực hiện theo quy định pháp luật về khoa học, công nghệ và đổi mới sáng tạo.</w:t>
            </w:r>
          </w:p>
          <w:p w14:paraId="6E03BB7B" w14:textId="191C2C3F" w:rsidR="00621AAE" w:rsidRDefault="00621AAE" w:rsidP="00621AAE">
            <w:pPr>
              <w:spacing w:after="40"/>
              <w:jc w:val="both"/>
            </w:pPr>
          </w:p>
        </w:tc>
        <w:tc>
          <w:tcPr>
            <w:tcW w:w="4996" w:type="dxa"/>
          </w:tcPr>
          <w:p w14:paraId="203C3E1E" w14:textId="77777777" w:rsidR="00621AAE" w:rsidRDefault="00621AAE" w:rsidP="00621AAE">
            <w:pPr>
              <w:spacing w:after="40"/>
              <w:jc w:val="both"/>
            </w:pPr>
            <w:r>
              <w:rPr>
                <w:b/>
                <w:color w:val="000000"/>
                <w:sz w:val="26"/>
              </w:rPr>
              <w:t>Kế thừa</w:t>
            </w:r>
          </w:p>
          <w:p w14:paraId="4227D60C" w14:textId="1F9B40BA" w:rsidR="00621AAE" w:rsidRDefault="00621AAE" w:rsidP="00621AAE">
            <w:pPr>
              <w:spacing w:after="40"/>
              <w:jc w:val="both"/>
            </w:pPr>
            <w:r>
              <w:rPr>
                <w:color w:val="000000"/>
                <w:sz w:val="26"/>
              </w:rPr>
              <w:t>Kế thừa hai phương thức khoán của Nghị định</w:t>
            </w:r>
            <w:r w:rsidR="006749A2">
              <w:rPr>
                <w:color w:val="000000"/>
                <w:sz w:val="26"/>
              </w:rPr>
              <w:t xml:space="preserve"> 265/2025/NĐ-CP</w:t>
            </w:r>
            <w:r>
              <w:rPr>
                <w:color w:val="000000"/>
                <w:sz w:val="26"/>
              </w:rPr>
              <w:t>, không phát sinh phương thức mới; phần không khoán quản lý theo chứng từ thực tế.</w:t>
            </w:r>
          </w:p>
        </w:tc>
      </w:tr>
      <w:tr w:rsidR="00621AAE" w14:paraId="0B6311B5" w14:textId="77777777" w:rsidTr="006749A2">
        <w:trPr>
          <w:jc w:val="center"/>
        </w:trPr>
        <w:tc>
          <w:tcPr>
            <w:tcW w:w="14276" w:type="dxa"/>
            <w:gridSpan w:val="3"/>
            <w:shd w:val="clear" w:color="auto" w:fill="D9D9D9"/>
          </w:tcPr>
          <w:p w14:paraId="75AD109B" w14:textId="77777777" w:rsidR="00621AAE" w:rsidRDefault="00621AAE" w:rsidP="00621AAE">
            <w:pPr>
              <w:spacing w:after="40"/>
              <w:jc w:val="both"/>
            </w:pPr>
            <w:r>
              <w:rPr>
                <w:b/>
                <w:color w:val="000000"/>
                <w:sz w:val="26"/>
              </w:rPr>
              <w:t>Chương III. LẬP VÀ ĐIỀU CHỈNH DỰ TOÁN KHOÁN CHI</w:t>
            </w:r>
          </w:p>
        </w:tc>
      </w:tr>
      <w:tr w:rsidR="00621AAE" w14:paraId="11DF712E" w14:textId="77777777" w:rsidTr="006749A2">
        <w:trPr>
          <w:jc w:val="center"/>
        </w:trPr>
        <w:tc>
          <w:tcPr>
            <w:tcW w:w="3571" w:type="dxa"/>
          </w:tcPr>
          <w:p w14:paraId="42763DFE" w14:textId="77777777" w:rsidR="005879DD" w:rsidRDefault="005879DD" w:rsidP="00080F05">
            <w:pPr>
              <w:jc w:val="both"/>
            </w:pPr>
            <w:r>
              <w:t>- Nghị định số 265/2025/NĐ-CP, Điều 10, khoản 3 (lập dự toán kinh phí khoán);</w:t>
            </w:r>
          </w:p>
          <w:p w14:paraId="4D350147" w14:textId="77777777" w:rsidR="005879DD" w:rsidRDefault="005879DD" w:rsidP="00080F05">
            <w:pPr>
              <w:jc w:val="both"/>
            </w:pPr>
            <w:r>
              <w:t>- Nghị quyết số 24/2026/NQ-HĐND ngày 19/6/2026 của HĐND Thành phố (định mức chi);</w:t>
            </w:r>
          </w:p>
          <w:p w14:paraId="72AB08EB" w14:textId="057EEFFE" w:rsidR="005879DD" w:rsidRDefault="005879DD" w:rsidP="00080F05">
            <w:pPr>
              <w:spacing w:after="40"/>
              <w:jc w:val="both"/>
            </w:pPr>
            <w:r>
              <w:t>- Luật Phát triển đô thị số 18/2026/QH16, điểm a khoản 3 Điều 30 (thẩm quyền quy định khoán chi).</w:t>
            </w:r>
          </w:p>
        </w:tc>
        <w:tc>
          <w:tcPr>
            <w:tcW w:w="5709" w:type="dxa"/>
          </w:tcPr>
          <w:p w14:paraId="26821A1B" w14:textId="4F97053D" w:rsidR="00621AAE" w:rsidRDefault="00621AAE" w:rsidP="00621AAE">
            <w:pPr>
              <w:spacing w:after="40"/>
              <w:jc w:val="both"/>
            </w:pPr>
            <w:r>
              <w:rPr>
                <w:b/>
                <w:color w:val="000000"/>
                <w:sz w:val="26"/>
              </w:rPr>
              <w:t xml:space="preserve">Điều </w:t>
            </w:r>
            <w:r w:rsidR="00080F05">
              <w:rPr>
                <w:b/>
                <w:color w:val="000000"/>
                <w:sz w:val="26"/>
              </w:rPr>
              <w:t>6</w:t>
            </w:r>
            <w:r>
              <w:rPr>
                <w:b/>
                <w:color w:val="000000"/>
                <w:sz w:val="26"/>
              </w:rPr>
              <w:t>. Lập dự toán kinh phí khoán</w:t>
            </w:r>
          </w:p>
          <w:p w14:paraId="0660E974" w14:textId="77777777" w:rsidR="00080F05" w:rsidRDefault="00080F05" w:rsidP="00080F05">
            <w:pPr>
              <w:spacing w:after="120"/>
              <w:ind w:firstLine="567"/>
              <w:jc w:val="both"/>
            </w:pPr>
            <w:r>
              <w:t>1. Mức khoán được xác định dựa trên khối lượng công việc chuyên môn, sản phẩm, tính chất đặc thù của loại hình nhiệm vụ, định mức chi quy định tại Nghị quyết số 24/2026/NQ-HĐND và các quy định khác có liên quan. Khi lập dự toán nhiệm vụ khoa học và công nghệ, tổ chức, cá nhân chủ trì được quyền đề xuất mức chi thấp hơn mức quy định.</w:t>
            </w:r>
          </w:p>
          <w:p w14:paraId="4EE8A87C" w14:textId="77777777" w:rsidR="00080F05" w:rsidRDefault="00080F05" w:rsidP="00080F05">
            <w:pPr>
              <w:spacing w:after="120"/>
              <w:ind w:firstLine="567"/>
              <w:jc w:val="both"/>
            </w:pPr>
            <w:r>
              <w:t>2. Tùy theo chất lượng, khối lượng sản phẩm đầu ra, mức khoán chi được áp dụng hệ số k quy định chi tiết tại Phụ lục ban hành kèm theo Quy định này. Các nội dung chi được áp dụng nhân hệ số k bao gồm:</w:t>
            </w:r>
          </w:p>
          <w:p w14:paraId="4E94705E" w14:textId="77777777" w:rsidR="00080F05" w:rsidRDefault="00080F05" w:rsidP="00080F05">
            <w:pPr>
              <w:spacing w:after="120"/>
              <w:ind w:firstLine="567"/>
              <w:jc w:val="both"/>
            </w:pPr>
            <w:r>
              <w:t>a) Thù lao tham gia nhiệm vụ khoa học và công nghệ: thù lao chủ nhiệm nhiệm vụ, thù lao thư ký khoa học, thù lao cho các chức danh hoặc nhóm chức danh;</w:t>
            </w:r>
          </w:p>
          <w:p w14:paraId="2FA79F64" w14:textId="77777777" w:rsidR="00080F05" w:rsidRDefault="00080F05" w:rsidP="00080F05">
            <w:pPr>
              <w:spacing w:after="120"/>
              <w:ind w:firstLine="567"/>
              <w:jc w:val="both"/>
            </w:pPr>
            <w:r>
              <w:t>b) Chi hội nghị, hội thảo khoa học, diễn đàn, tọa đàm khoa học (bao gồm: họp tự đánh giá kết quả thực hiện và hỗ trợ công tác phí cho một số chuyên gia được mời tham gia);</w:t>
            </w:r>
          </w:p>
          <w:p w14:paraId="4C9A7F9E" w14:textId="77777777" w:rsidR="00080F05" w:rsidRDefault="00080F05" w:rsidP="00080F05">
            <w:pPr>
              <w:spacing w:after="120"/>
              <w:ind w:firstLine="567"/>
              <w:jc w:val="both"/>
            </w:pPr>
            <w:r>
              <w:t>c) Chi điều tra, khảo sát thu thập số liệu.</w:t>
            </w:r>
          </w:p>
          <w:p w14:paraId="683045AA" w14:textId="503E7024" w:rsidR="00621AAE" w:rsidRDefault="00621AAE" w:rsidP="00621AAE">
            <w:pPr>
              <w:spacing w:after="40"/>
              <w:jc w:val="both"/>
            </w:pPr>
          </w:p>
        </w:tc>
        <w:tc>
          <w:tcPr>
            <w:tcW w:w="4996" w:type="dxa"/>
          </w:tcPr>
          <w:p w14:paraId="1EED6C04" w14:textId="77777777" w:rsidR="00621AAE" w:rsidRDefault="00621AAE" w:rsidP="00621AAE">
            <w:pPr>
              <w:spacing w:after="40"/>
              <w:jc w:val="both"/>
            </w:pPr>
            <w:r>
              <w:rPr>
                <w:b/>
                <w:color w:val="000000"/>
                <w:sz w:val="26"/>
              </w:rPr>
              <w:t>Điểm mới - đặc thù Thành phố</w:t>
            </w:r>
          </w:p>
          <w:p w14:paraId="1555A674" w14:textId="77777777" w:rsidR="00621AAE" w:rsidRDefault="00621AAE" w:rsidP="00621AAE">
            <w:pPr>
              <w:spacing w:after="40"/>
              <w:jc w:val="both"/>
            </w:pPr>
            <w:r>
              <w:rPr>
                <w:color w:val="000000"/>
                <w:sz w:val="26"/>
              </w:rPr>
              <w:t>Áp dụng hệ số k đối với 03 nhóm nội dung chi (thù lao tham gia nhiệm vụ; hội nghị, hội thảo khoa học; điều tra, khảo sát thu thập số liệu) theo chất lượng, khối lượng sản phẩm đầu ra; cơ sở: định mức tại Nghị quyết số 24/2026/NQ-HĐND và thẩm quyền quy định khoán chi được giao tại điểm a khoản 3 Điều 30 Luật Phát triển đô thị; cho phép tổ chức, cá nhân chủ trì đề xuất mức chi thấp hơn nhằm bảo đảm tiết kiệm, hiệu quả.</w:t>
            </w:r>
          </w:p>
        </w:tc>
      </w:tr>
      <w:tr w:rsidR="00621AAE" w14:paraId="1A55FEA2" w14:textId="77777777" w:rsidTr="006749A2">
        <w:trPr>
          <w:jc w:val="center"/>
        </w:trPr>
        <w:tc>
          <w:tcPr>
            <w:tcW w:w="3571" w:type="dxa"/>
          </w:tcPr>
          <w:p w14:paraId="4405BEAA" w14:textId="0F6FDF17" w:rsidR="00621AAE" w:rsidRDefault="00080F05" w:rsidP="00997BBA">
            <w:pPr>
              <w:spacing w:after="40"/>
            </w:pPr>
            <w:r>
              <w:lastRenderedPageBreak/>
              <w:t>- Luật Khoa học, công nghệ và đổi mới sáng tạo số 93/2025/QH15 (quy định về giao nhiệm vụ, hợp đồng);</w:t>
            </w:r>
            <w:r>
              <w:br/>
              <w:t>- Nghị định số 265/2025/NĐ-CP, Điều 10 (khoán chi).</w:t>
            </w:r>
          </w:p>
        </w:tc>
        <w:tc>
          <w:tcPr>
            <w:tcW w:w="5709" w:type="dxa"/>
          </w:tcPr>
          <w:p w14:paraId="2B704824" w14:textId="5248201D" w:rsidR="00621AAE" w:rsidRDefault="00621AAE" w:rsidP="00621AAE">
            <w:pPr>
              <w:spacing w:after="40"/>
              <w:jc w:val="both"/>
            </w:pPr>
            <w:r>
              <w:rPr>
                <w:b/>
                <w:color w:val="000000"/>
                <w:sz w:val="26"/>
              </w:rPr>
              <w:t xml:space="preserve">Điều </w:t>
            </w:r>
            <w:r w:rsidR="00080F05">
              <w:rPr>
                <w:b/>
                <w:color w:val="000000"/>
                <w:sz w:val="26"/>
              </w:rPr>
              <w:t>7</w:t>
            </w:r>
            <w:r>
              <w:rPr>
                <w:b/>
                <w:color w:val="000000"/>
                <w:sz w:val="26"/>
              </w:rPr>
              <w:t>. Phê duyệt nhiệm vụ và hợp đồng thực hiện nhiệm vụ</w:t>
            </w:r>
          </w:p>
          <w:p w14:paraId="39ED48B1" w14:textId="77777777" w:rsidR="00080F05" w:rsidRDefault="00080F05" w:rsidP="00080F05">
            <w:pPr>
              <w:spacing w:after="120"/>
              <w:ind w:firstLine="567"/>
              <w:jc w:val="both"/>
            </w:pPr>
            <w:r>
              <w:t>1. Quyết định phê duyệt nhiệm vụ của cơ quan có thẩm quyền phải xác định cụ thể phương thức khoán chi và tổng kinh phí giao khoán.</w:t>
            </w:r>
          </w:p>
          <w:p w14:paraId="0D8C5264" w14:textId="68EF57AF" w:rsidR="00621AAE" w:rsidRDefault="00080F05" w:rsidP="00080F05">
            <w:pPr>
              <w:spacing w:after="120"/>
              <w:ind w:firstLine="567"/>
              <w:jc w:val="both"/>
            </w:pPr>
            <w:r>
              <w:t>2. Hợp đồng thực hiện nhiệm vụ phải cụ thể hóa phương thức khoán chi, thời điểm cấp kinh phí, điều kiện thanh toán, hồ sơ đánh giá cuối kỳ, phương thức xử lý trường hợp không hoàn thành, hoàn thành một phần hoặc phải điều chỉnh nhiệm vụ, quyền lợi và nghĩa vụ, trách nhiệm cụ thể của các bên có liên quan.</w:t>
            </w:r>
          </w:p>
        </w:tc>
        <w:tc>
          <w:tcPr>
            <w:tcW w:w="4996" w:type="dxa"/>
          </w:tcPr>
          <w:p w14:paraId="5B417A7A" w14:textId="77777777" w:rsidR="00621AAE" w:rsidRDefault="00621AAE" w:rsidP="00621AAE">
            <w:pPr>
              <w:spacing w:after="40"/>
              <w:jc w:val="both"/>
            </w:pPr>
            <w:r>
              <w:rPr>
                <w:b/>
                <w:color w:val="000000"/>
                <w:sz w:val="26"/>
              </w:rPr>
              <w:t>Quy định chi tiết</w:t>
            </w:r>
          </w:p>
          <w:p w14:paraId="7A048457" w14:textId="77777777" w:rsidR="00621AAE" w:rsidRDefault="00621AAE" w:rsidP="00621AAE">
            <w:pPr>
              <w:spacing w:after="40"/>
              <w:jc w:val="both"/>
            </w:pPr>
            <w:r>
              <w:rPr>
                <w:color w:val="000000"/>
                <w:sz w:val="26"/>
              </w:rPr>
              <w:t>Quyết định phê duyệt và hợp đồng là căn cứ pháp lý xác lập phương thức khoán, tổng kinh phí khoán, điều kiện thanh toán và phương án xử lý khi không hoàn thành; phù hợp nguyên tắc quản lý nhiệm vụ theo hợp đồng.</w:t>
            </w:r>
          </w:p>
        </w:tc>
      </w:tr>
      <w:tr w:rsidR="00621AAE" w14:paraId="2537F3F1" w14:textId="77777777" w:rsidTr="006749A2">
        <w:trPr>
          <w:jc w:val="center"/>
        </w:trPr>
        <w:tc>
          <w:tcPr>
            <w:tcW w:w="14276" w:type="dxa"/>
            <w:gridSpan w:val="3"/>
            <w:shd w:val="clear" w:color="auto" w:fill="D9D9D9"/>
          </w:tcPr>
          <w:p w14:paraId="70165E99" w14:textId="77777777" w:rsidR="00621AAE" w:rsidRDefault="00621AAE" w:rsidP="00621AAE">
            <w:pPr>
              <w:spacing w:after="40"/>
              <w:jc w:val="both"/>
            </w:pPr>
            <w:r>
              <w:rPr>
                <w:b/>
                <w:color w:val="000000"/>
                <w:sz w:val="26"/>
              </w:rPr>
              <w:t>Chương IV. CẤP PHÁT, THANH TOÁN, QUYẾT TOÁN KINH PHÍ KHOÁN</w:t>
            </w:r>
          </w:p>
        </w:tc>
      </w:tr>
      <w:tr w:rsidR="00621AAE" w14:paraId="13C52B31" w14:textId="77777777" w:rsidTr="006749A2">
        <w:trPr>
          <w:jc w:val="center"/>
        </w:trPr>
        <w:tc>
          <w:tcPr>
            <w:tcW w:w="3571" w:type="dxa"/>
          </w:tcPr>
          <w:p w14:paraId="6E962ECD" w14:textId="78E13401" w:rsidR="00621AAE" w:rsidRDefault="00080F05" w:rsidP="00080F05">
            <w:pPr>
              <w:spacing w:after="40"/>
              <w:jc w:val="both"/>
            </w:pPr>
            <w:r>
              <w:t>- Luật Ngân sách nhà nước số 89/2025/QH15 (cấp phát, tạm ứng ngân sách nhà nước);</w:t>
            </w:r>
            <w:r>
              <w:br/>
              <w:t>- Nghị định số 265/2025/NĐ-CP, Điều 10 (khoán chi).</w:t>
            </w:r>
          </w:p>
        </w:tc>
        <w:tc>
          <w:tcPr>
            <w:tcW w:w="5709" w:type="dxa"/>
          </w:tcPr>
          <w:p w14:paraId="128E6EE7" w14:textId="227053A6" w:rsidR="00621AAE" w:rsidRDefault="00621AAE" w:rsidP="00621AAE">
            <w:pPr>
              <w:spacing w:after="40"/>
              <w:jc w:val="both"/>
            </w:pPr>
            <w:r>
              <w:rPr>
                <w:b/>
                <w:color w:val="000000"/>
                <w:sz w:val="26"/>
              </w:rPr>
              <w:t xml:space="preserve">Điều </w:t>
            </w:r>
            <w:r w:rsidR="00080F05">
              <w:rPr>
                <w:b/>
                <w:color w:val="000000"/>
                <w:sz w:val="26"/>
              </w:rPr>
              <w:t>8</w:t>
            </w:r>
            <w:r>
              <w:rPr>
                <w:b/>
                <w:color w:val="000000"/>
                <w:sz w:val="26"/>
              </w:rPr>
              <w:t>. Cơ chế cấp phát, tạm ứng kinh phí</w:t>
            </w:r>
          </w:p>
          <w:p w14:paraId="50E9135F" w14:textId="77777777" w:rsidR="00080F05" w:rsidRDefault="00080F05" w:rsidP="00080F05">
            <w:pPr>
              <w:spacing w:after="120"/>
              <w:ind w:firstLine="567"/>
              <w:jc w:val="both"/>
              <w:rPr>
                <w:strike/>
              </w:rPr>
            </w:pPr>
            <w:r>
              <w:t xml:space="preserve">1. Cơ quan quản lý nhiệm vụ phối hợp với Kho bạc Nhà nước thực hiện tạm ứng kinh phí cho tổ chức chủ trì theo tiến độ quy định tại hợp đồng nhưng không quá 50% tổng kinh phí nhiệm vụ ngay sau khi ký hợp đồng. </w:t>
            </w:r>
          </w:p>
          <w:p w14:paraId="1898F184" w14:textId="77777777" w:rsidR="00080F05" w:rsidRDefault="00080F05" w:rsidP="00080F05">
            <w:pPr>
              <w:spacing w:after="120"/>
              <w:ind w:firstLine="567"/>
              <w:jc w:val="both"/>
            </w:pPr>
            <w:r>
              <w:t>2. Hồ sơ tạm ứng gồm: Văn bản đề nghị tạm ứng, quyết định phê duyệt, dự toán và hợp đồng thực hiện nhiệm vụ; Biên bản đánh giá trong kỳ nhiệm vụ (nếu có).</w:t>
            </w:r>
          </w:p>
          <w:p w14:paraId="7D415447" w14:textId="16EE596B" w:rsidR="00621AAE" w:rsidRDefault="00621AAE" w:rsidP="00621AAE">
            <w:pPr>
              <w:spacing w:after="40"/>
              <w:jc w:val="both"/>
            </w:pPr>
          </w:p>
        </w:tc>
        <w:tc>
          <w:tcPr>
            <w:tcW w:w="4996" w:type="dxa"/>
          </w:tcPr>
          <w:p w14:paraId="4E4B291E" w14:textId="77777777" w:rsidR="00621AAE" w:rsidRDefault="00621AAE" w:rsidP="00621AAE">
            <w:pPr>
              <w:spacing w:after="40"/>
              <w:jc w:val="both"/>
            </w:pPr>
            <w:r>
              <w:rPr>
                <w:b/>
                <w:color w:val="000000"/>
                <w:sz w:val="26"/>
              </w:rPr>
              <w:t>Quy định chi tiết</w:t>
            </w:r>
          </w:p>
          <w:p w14:paraId="34755185" w14:textId="2BA98E8C" w:rsidR="00621AAE" w:rsidRDefault="00621AAE" w:rsidP="00621AAE">
            <w:pPr>
              <w:spacing w:after="40"/>
              <w:jc w:val="both"/>
            </w:pPr>
            <w:r>
              <w:rPr>
                <w:color w:val="000000"/>
                <w:sz w:val="26"/>
              </w:rPr>
              <w:t xml:space="preserve">Quy định mức tạm ứng </w:t>
            </w:r>
            <w:r w:rsidR="00080F05">
              <w:rPr>
                <w:color w:val="000000"/>
                <w:sz w:val="26"/>
              </w:rPr>
              <w:t>không quá</w:t>
            </w:r>
            <w:r>
              <w:rPr>
                <w:color w:val="000000"/>
                <w:sz w:val="26"/>
              </w:rPr>
              <w:t xml:space="preserve"> 50% tổng kinh phí thuộc diện khoán ngay sau khi ký hợp đồng; hồ sơ tạm ứng đơn giản hóa, phù hợp pháp luật ngân sách nhà nước và kiểm soát chi qua Kho bạc Nhà nước.</w:t>
            </w:r>
          </w:p>
        </w:tc>
      </w:tr>
      <w:tr w:rsidR="00621AAE" w14:paraId="6145E49B" w14:textId="77777777" w:rsidTr="006749A2">
        <w:trPr>
          <w:jc w:val="center"/>
        </w:trPr>
        <w:tc>
          <w:tcPr>
            <w:tcW w:w="3571" w:type="dxa"/>
          </w:tcPr>
          <w:p w14:paraId="0E16C268" w14:textId="47C475F5" w:rsidR="00621AAE" w:rsidRDefault="00080F05" w:rsidP="00080F05">
            <w:pPr>
              <w:spacing w:after="40"/>
              <w:jc w:val="both"/>
            </w:pPr>
            <w:r>
              <w:t>- Nghị định số 265/2025/NĐ-CP, Điều 10, khoản 4 (thanh toán, quyết toán kinh phí khoán).</w:t>
            </w:r>
          </w:p>
        </w:tc>
        <w:tc>
          <w:tcPr>
            <w:tcW w:w="5709" w:type="dxa"/>
          </w:tcPr>
          <w:p w14:paraId="1A2CCDD3" w14:textId="073304BC" w:rsidR="00621AAE" w:rsidRDefault="00621AAE" w:rsidP="00621AAE">
            <w:pPr>
              <w:spacing w:after="40"/>
              <w:jc w:val="both"/>
            </w:pPr>
            <w:r>
              <w:rPr>
                <w:b/>
                <w:color w:val="000000"/>
                <w:sz w:val="26"/>
              </w:rPr>
              <w:t xml:space="preserve">Điều </w:t>
            </w:r>
            <w:r w:rsidR="00080F05">
              <w:rPr>
                <w:b/>
                <w:color w:val="000000"/>
                <w:sz w:val="26"/>
              </w:rPr>
              <w:t>9</w:t>
            </w:r>
            <w:r>
              <w:rPr>
                <w:b/>
                <w:color w:val="000000"/>
                <w:sz w:val="26"/>
              </w:rPr>
              <w:t>. Thanh toán, quyết toán kinh phí khoán</w:t>
            </w:r>
          </w:p>
          <w:p w14:paraId="7D6669AC" w14:textId="77777777" w:rsidR="00080F05" w:rsidRDefault="00080F05" w:rsidP="00080F05">
            <w:pPr>
              <w:spacing w:after="120"/>
              <w:ind w:firstLine="567"/>
              <w:jc w:val="both"/>
            </w:pPr>
            <w:r>
              <w:t>1. Thanh toán kinh phí khoán theo tiến độ:</w:t>
            </w:r>
          </w:p>
          <w:p w14:paraId="5CF0DC07" w14:textId="77777777" w:rsidR="00080F05" w:rsidRDefault="00080F05" w:rsidP="00080F05">
            <w:pPr>
              <w:spacing w:after="120"/>
              <w:ind w:firstLine="567"/>
              <w:jc w:val="both"/>
            </w:pPr>
            <w:r>
              <w:t>a) Cơ quan quản lý nhiệm vụ và Kho bạc Nhà nước thanh toán căn cứ trực tiếp vào Biên bản đánh giá trong kỳ đạt yêu cầu của Hội đồng tư vấn; kết quả, sản phẩm đạt được theo tiến độ;</w:t>
            </w:r>
          </w:p>
          <w:p w14:paraId="1F35D72E" w14:textId="77777777" w:rsidR="00080F05" w:rsidRDefault="00080F05" w:rsidP="00080F05">
            <w:pPr>
              <w:spacing w:after="120"/>
              <w:ind w:firstLine="567"/>
              <w:jc w:val="both"/>
            </w:pPr>
            <w:r>
              <w:lastRenderedPageBreak/>
              <w:t>b) Tổ chức chủ trì nhiệm vụ lập Bảng tổng hợp kinh phí đề nghị thanh toán. Cơ quan quản lý nhiệm vụ, cơ quan tài chính và Kho bạc Nhà nước không yêu cầu tổ chức chủ trì phải nộp hoặc xuất trình chứng từ, hóa đơn chi tiết đối với các khoản chi thuộc phạm vi khoán chi của nhiệm vụ.</w:t>
            </w:r>
          </w:p>
          <w:p w14:paraId="6F8CC2FE" w14:textId="77777777" w:rsidR="00080F05" w:rsidRDefault="00080F05" w:rsidP="00080F05">
            <w:pPr>
              <w:spacing w:after="120"/>
              <w:ind w:firstLine="567"/>
              <w:jc w:val="both"/>
            </w:pPr>
            <w:r>
              <w:t>2. Quyết toán kinh phí khoán:</w:t>
            </w:r>
          </w:p>
          <w:p w14:paraId="06218ED3" w14:textId="77777777" w:rsidR="00080F05" w:rsidRDefault="00080F05" w:rsidP="00080F05">
            <w:pPr>
              <w:spacing w:after="120"/>
              <w:ind w:firstLine="567"/>
              <w:jc w:val="both"/>
            </w:pPr>
            <w:r>
              <w:t>a) Trường hợp nhiệm vụ được đánh giá cuối kỳ đạt yêu cầu với đầy đủ kết quả, sản phẩm theo chỉ tiêu chất lượng đã cam kết trong thuyết minh, tổ chức chủ trì nhiệm vụ lập Bảng tổng hợp kinh phí đề nghị quyết toán;</w:t>
            </w:r>
          </w:p>
          <w:p w14:paraId="5070F491" w14:textId="77777777" w:rsidR="00080F05" w:rsidRDefault="00080F05" w:rsidP="00080F05">
            <w:pPr>
              <w:spacing w:after="120"/>
              <w:ind w:firstLine="567"/>
              <w:jc w:val="both"/>
            </w:pPr>
            <w:r>
              <w:t>b) Cơ quan quản lý, cơ quan tài chính và Kho bạc Nhà nước không yêu cầu tổ chức chủ trì phải nộp hoặc xuất trình chứng từ, hóa đơn chi tiết đối với các khoản chi thuộc phạm vi khoán chi của nhiệm vụ;</w:t>
            </w:r>
          </w:p>
          <w:p w14:paraId="43E0DA6A" w14:textId="5450087C" w:rsidR="00621AAE" w:rsidRDefault="00080F05" w:rsidP="00080F05">
            <w:pPr>
              <w:spacing w:after="120"/>
              <w:ind w:firstLine="567"/>
              <w:jc w:val="both"/>
            </w:pPr>
            <w:r>
              <w:t>c) Trường hợp nhiệm vụ dừng thực hiện, nhiệm vụ đến hết thời gian quy định của hợp đồng chưa đạt kết quả cuối cùng mà không được cấp có thẩm quyền cho phép kéo dài thời hạn thì trước khi quyết toán phải thực hiện thủ tục xử lý tài chính đối với nhiệm vụ không đạt kết quả.</w:t>
            </w:r>
          </w:p>
        </w:tc>
        <w:tc>
          <w:tcPr>
            <w:tcW w:w="4996" w:type="dxa"/>
          </w:tcPr>
          <w:p w14:paraId="2427E848" w14:textId="77777777" w:rsidR="00621AAE" w:rsidRDefault="00621AAE" w:rsidP="00621AAE">
            <w:pPr>
              <w:spacing w:after="40"/>
              <w:jc w:val="both"/>
            </w:pPr>
            <w:r>
              <w:rPr>
                <w:b/>
                <w:color w:val="000000"/>
                <w:sz w:val="26"/>
              </w:rPr>
              <w:lastRenderedPageBreak/>
              <w:t>Kế thừa</w:t>
            </w:r>
          </w:p>
          <w:p w14:paraId="2A06C87B" w14:textId="77777777" w:rsidR="00621AAE" w:rsidRDefault="00621AAE" w:rsidP="00621AAE">
            <w:pPr>
              <w:spacing w:after="40"/>
              <w:jc w:val="both"/>
            </w:pPr>
            <w:r>
              <w:rPr>
                <w:color w:val="000000"/>
                <w:sz w:val="26"/>
              </w:rPr>
              <w:t xml:space="preserve">Kế thừa nguyên tắc tại Điều 10 Nghị định số 265/2025/NĐ-CP - thanh toán, quyết toán căn cứ biên bản đánh giá và sản phẩm đầu ra; cơ quan quản lý, cơ quan tài chính, Kho bạc Nhà nước không yêu cầu xuất trình chứng từ, hóa đơn chi tiết đối với phần kinh phí khoán; tổ </w:t>
            </w:r>
            <w:r>
              <w:rPr>
                <w:color w:val="000000"/>
                <w:sz w:val="26"/>
              </w:rPr>
              <w:lastRenderedPageBreak/>
              <w:t>chức chủ trì vẫn phải lưu trữ chứng từ và giải trình khi có yêu cầu.</w:t>
            </w:r>
          </w:p>
        </w:tc>
      </w:tr>
      <w:tr w:rsidR="00621AAE" w14:paraId="391576AA" w14:textId="77777777" w:rsidTr="006749A2">
        <w:trPr>
          <w:jc w:val="center"/>
        </w:trPr>
        <w:tc>
          <w:tcPr>
            <w:tcW w:w="3571" w:type="dxa"/>
          </w:tcPr>
          <w:p w14:paraId="51600AEA" w14:textId="134D7F04" w:rsidR="00621AAE" w:rsidRDefault="00080F05" w:rsidP="00997BBA">
            <w:pPr>
              <w:spacing w:after="40"/>
            </w:pPr>
            <w:r>
              <w:lastRenderedPageBreak/>
              <w:t>- Nghị định số 265/2025/NĐ-CP, Điều 10, khoản 5 (xử lý kinh phí khoán chi chưa sử dụng hết).</w:t>
            </w:r>
          </w:p>
        </w:tc>
        <w:tc>
          <w:tcPr>
            <w:tcW w:w="5709" w:type="dxa"/>
          </w:tcPr>
          <w:p w14:paraId="6C8F8F78" w14:textId="77777777" w:rsidR="00621AAE" w:rsidRDefault="00621AAE" w:rsidP="00621AAE">
            <w:pPr>
              <w:spacing w:after="40"/>
              <w:jc w:val="both"/>
            </w:pPr>
            <w:r>
              <w:rPr>
                <w:b/>
                <w:color w:val="000000"/>
                <w:sz w:val="26"/>
              </w:rPr>
              <w:t>Điều 11. Xử lý kinh phí khoán chi chưa sử dụng hết</w:t>
            </w:r>
          </w:p>
          <w:p w14:paraId="5A7FCDFA" w14:textId="77777777" w:rsidR="00621AAE" w:rsidRDefault="00621AAE" w:rsidP="00621AAE">
            <w:pPr>
              <w:spacing w:after="40"/>
              <w:jc w:val="both"/>
            </w:pPr>
            <w:r>
              <w:rPr>
                <w:color w:val="000000"/>
                <w:sz w:val="26"/>
              </w:rPr>
              <w:t>Không thu hồi kinh phí khoán còn dư khi nhiệm vụ đạt yêu cầu; tổ chức chủ trì tự chủ quyết định sử dụng theo quy chế chi tiêu nội bộ, công khai, minh bạch và báo cáo Sở Khoa học và Công nghệ.</w:t>
            </w:r>
          </w:p>
        </w:tc>
        <w:tc>
          <w:tcPr>
            <w:tcW w:w="4996" w:type="dxa"/>
          </w:tcPr>
          <w:p w14:paraId="740DD27F" w14:textId="77777777" w:rsidR="00621AAE" w:rsidRDefault="00621AAE" w:rsidP="00621AAE">
            <w:pPr>
              <w:spacing w:after="40"/>
              <w:jc w:val="both"/>
            </w:pPr>
            <w:r>
              <w:rPr>
                <w:b/>
                <w:color w:val="000000"/>
                <w:sz w:val="26"/>
              </w:rPr>
              <w:t>Kế thừa</w:t>
            </w:r>
          </w:p>
          <w:p w14:paraId="51515ACE" w14:textId="77777777" w:rsidR="00621AAE" w:rsidRDefault="00621AAE" w:rsidP="00621AAE">
            <w:pPr>
              <w:spacing w:after="40"/>
              <w:jc w:val="both"/>
            </w:pPr>
            <w:r>
              <w:rPr>
                <w:color w:val="000000"/>
                <w:sz w:val="26"/>
              </w:rPr>
              <w:t xml:space="preserve">Kế thừa cơ chế tổ chức chủ trì được tự chủ, tự chịu trách nhiệm quyết định việc sử dụng kinh phí khoán theo Nghị định số 265/2025/NĐ-CP; không thu hồi kinh phí khoán còn dư khi nhiệm vụ được đánh giá đạt yêu cầu; việc sử dụng phải theo quy chế chi tiêu nội bộ, công </w:t>
            </w:r>
            <w:r>
              <w:rPr>
                <w:color w:val="000000"/>
                <w:sz w:val="26"/>
              </w:rPr>
              <w:lastRenderedPageBreak/>
              <w:t>khai, minh bạch và báo cáo Sở Khoa học và Công nghệ để theo dõi.</w:t>
            </w:r>
          </w:p>
        </w:tc>
      </w:tr>
      <w:tr w:rsidR="00621AAE" w14:paraId="29B972E1" w14:textId="77777777" w:rsidTr="006749A2">
        <w:trPr>
          <w:jc w:val="center"/>
        </w:trPr>
        <w:tc>
          <w:tcPr>
            <w:tcW w:w="14276" w:type="dxa"/>
            <w:gridSpan w:val="3"/>
            <w:shd w:val="clear" w:color="auto" w:fill="D9D9D9"/>
          </w:tcPr>
          <w:p w14:paraId="19E9644C" w14:textId="77777777" w:rsidR="00621AAE" w:rsidRDefault="00621AAE" w:rsidP="00621AAE">
            <w:pPr>
              <w:spacing w:after="40"/>
              <w:jc w:val="both"/>
            </w:pPr>
            <w:r>
              <w:rPr>
                <w:b/>
                <w:color w:val="000000"/>
                <w:sz w:val="26"/>
              </w:rPr>
              <w:lastRenderedPageBreak/>
              <w:t>Chương V. KIỂM TRA, GIÁM SÁT, CÔNG KHAI VÀ QUẢN TRỊ RỦI RO</w:t>
            </w:r>
          </w:p>
        </w:tc>
      </w:tr>
      <w:tr w:rsidR="00621AAE" w14:paraId="10CC6D9C" w14:textId="77777777" w:rsidTr="006749A2">
        <w:trPr>
          <w:jc w:val="center"/>
        </w:trPr>
        <w:tc>
          <w:tcPr>
            <w:tcW w:w="3571" w:type="dxa"/>
          </w:tcPr>
          <w:p w14:paraId="4A78EF37" w14:textId="30FC19AF" w:rsidR="00621AAE" w:rsidRDefault="00DC42F8" w:rsidP="00997BBA">
            <w:pPr>
              <w:spacing w:after="40"/>
            </w:pPr>
            <w:r>
              <w:t>- Luật Khoa học, công nghệ và đổi mới sáng tạo số 93/2025/QH15 (kiểm tra, giám sát hoạt động khoa học, công nghệ và đổi mới sáng tạo);</w:t>
            </w:r>
            <w:r>
              <w:br/>
              <w:t>- Nghị định số 265/2025/NĐ-CP, Điều 10 (khoán chi).</w:t>
            </w:r>
          </w:p>
        </w:tc>
        <w:tc>
          <w:tcPr>
            <w:tcW w:w="5709" w:type="dxa"/>
          </w:tcPr>
          <w:p w14:paraId="1C7DE3C7" w14:textId="07901075" w:rsidR="00621AAE" w:rsidRDefault="00621AAE" w:rsidP="00621AAE">
            <w:pPr>
              <w:spacing w:after="40"/>
              <w:jc w:val="both"/>
            </w:pPr>
            <w:r>
              <w:rPr>
                <w:b/>
                <w:color w:val="000000"/>
                <w:sz w:val="26"/>
              </w:rPr>
              <w:t>Điều 1</w:t>
            </w:r>
            <w:r w:rsidR="00DC42F8">
              <w:rPr>
                <w:b/>
                <w:color w:val="000000"/>
                <w:sz w:val="26"/>
              </w:rPr>
              <w:t>2</w:t>
            </w:r>
            <w:r>
              <w:rPr>
                <w:b/>
                <w:color w:val="000000"/>
                <w:sz w:val="26"/>
              </w:rPr>
              <w:t>. Công tác kiểm tra, giám sát</w:t>
            </w:r>
          </w:p>
          <w:p w14:paraId="0AC72EE5" w14:textId="77777777" w:rsidR="00DC42F8" w:rsidRDefault="00DC42F8" w:rsidP="00DC42F8">
            <w:pPr>
              <w:spacing w:after="120"/>
              <w:ind w:firstLine="567"/>
              <w:jc w:val="both"/>
            </w:pPr>
            <w:r>
              <w:t>1. Cơ quan quản lý nhiệm vụ thực hiện kiểm tra, giám sát định kỳ hoặc đột xuất việc thực hiện nhiệm vụ, tiến độ tạo sản phẩm, tình hình sử dụng kinh phí, việc tuân thủ hợp đồng, quy định chuyên môn, đạo đức nghiên cứu, an toàn dữ liệu, sở hữu trí tuệ và các yêu cầu quản lý khác.</w:t>
            </w:r>
          </w:p>
          <w:p w14:paraId="165EB5F3" w14:textId="77777777" w:rsidR="00DC42F8" w:rsidRDefault="00DC42F8" w:rsidP="00DC42F8">
            <w:pPr>
              <w:spacing w:after="120"/>
              <w:ind w:firstLine="567"/>
              <w:jc w:val="both"/>
            </w:pPr>
            <w:r>
              <w:t>2. Việc kiểm tra, giám sát đối với nội dung khoán tập trung vào chất lượng sản phẩm đầu ra; không lấy việc đối chiếu chi tiết từng khoản chi, hóa đơn, chứng từ đầu vào để đánh giá kết quả thực hiện nhiệm vụ.</w:t>
            </w:r>
          </w:p>
          <w:p w14:paraId="2498181F" w14:textId="242004E8" w:rsidR="00621AAE" w:rsidRDefault="00DC42F8" w:rsidP="00DC42F8">
            <w:pPr>
              <w:spacing w:after="120"/>
              <w:ind w:firstLine="567"/>
              <w:jc w:val="both"/>
            </w:pPr>
            <w:r>
              <w:t>3. Tổ chức chủ trì chịu trách nhiệm tự kiểm soát hệ thống hạch toán nội bộ, lưu trữ toàn bộ hóa đơn, chứng từ phát sinh của nhiệm vụ tại đơn vị theo thời hạn quy định của pháp luật về lưu trữ, kế toán và khoa học, công nghệ để phục vụ công tác thanh tra, kiểm toán khi có yêu cầu.</w:t>
            </w:r>
          </w:p>
        </w:tc>
        <w:tc>
          <w:tcPr>
            <w:tcW w:w="4996" w:type="dxa"/>
          </w:tcPr>
          <w:p w14:paraId="79E21408" w14:textId="77777777" w:rsidR="00621AAE" w:rsidRDefault="00621AAE" w:rsidP="00621AAE">
            <w:pPr>
              <w:spacing w:after="40"/>
              <w:jc w:val="both"/>
            </w:pPr>
            <w:r>
              <w:rPr>
                <w:b/>
                <w:color w:val="000000"/>
                <w:sz w:val="26"/>
              </w:rPr>
              <w:t>Quy định chi tiết</w:t>
            </w:r>
          </w:p>
          <w:p w14:paraId="71276EA4" w14:textId="77777777" w:rsidR="00621AAE" w:rsidRDefault="00621AAE" w:rsidP="00621AAE">
            <w:pPr>
              <w:spacing w:after="40"/>
              <w:jc w:val="both"/>
            </w:pPr>
            <w:r>
              <w:rPr>
                <w:color w:val="000000"/>
                <w:sz w:val="26"/>
              </w:rPr>
              <w:t>Chuyển trọng tâm kiểm tra sang chất lượng sản phẩm đầu ra, không dùng việc đối chiếu chứng từ đầu vào để đánh giá kết quả; tổ chức chủ trì tự kiểm soát hạch toán nội bộ, lưu trữ chứng từ theo pháp luật kế toán, lưu trữ phục vụ thanh tra, kiểm toán.</w:t>
            </w:r>
          </w:p>
        </w:tc>
      </w:tr>
      <w:tr w:rsidR="00621AAE" w14:paraId="7693059B" w14:textId="77777777" w:rsidTr="006749A2">
        <w:trPr>
          <w:jc w:val="center"/>
        </w:trPr>
        <w:tc>
          <w:tcPr>
            <w:tcW w:w="3571" w:type="dxa"/>
          </w:tcPr>
          <w:p w14:paraId="0D95C008" w14:textId="4E19B1FD" w:rsidR="00621AAE" w:rsidRDefault="00DC42F8" w:rsidP="00997BBA">
            <w:pPr>
              <w:spacing w:after="40"/>
            </w:pPr>
            <w:r>
              <w:t>- Luật Ngân sách nhà nước số 89/2025/QH15 (công khai ngân sách nhà nước);</w:t>
            </w:r>
            <w:r>
              <w:br/>
              <w:t>- Luật Khoa học, công nghệ và đổi mới sáng tạo số 93/2025/QH15 (công khai, minh bạch).</w:t>
            </w:r>
          </w:p>
        </w:tc>
        <w:tc>
          <w:tcPr>
            <w:tcW w:w="5709" w:type="dxa"/>
          </w:tcPr>
          <w:p w14:paraId="44F4BBE3" w14:textId="2D2FF59E" w:rsidR="00621AAE" w:rsidRDefault="00621AAE" w:rsidP="00621AAE">
            <w:pPr>
              <w:spacing w:after="40"/>
              <w:jc w:val="both"/>
            </w:pPr>
            <w:r>
              <w:rPr>
                <w:b/>
                <w:color w:val="000000"/>
                <w:sz w:val="26"/>
              </w:rPr>
              <w:t>Điều 1</w:t>
            </w:r>
            <w:r w:rsidR="00DC42F8">
              <w:rPr>
                <w:b/>
                <w:color w:val="000000"/>
                <w:sz w:val="26"/>
              </w:rPr>
              <w:t>3</w:t>
            </w:r>
            <w:r>
              <w:rPr>
                <w:b/>
                <w:color w:val="000000"/>
                <w:sz w:val="26"/>
              </w:rPr>
              <w:t>. Công khai, minh bạch và trách nhiệm giải trình</w:t>
            </w:r>
          </w:p>
          <w:p w14:paraId="54D7532E" w14:textId="77777777" w:rsidR="00DC42F8" w:rsidRDefault="00DC42F8" w:rsidP="00DC42F8">
            <w:pPr>
              <w:spacing w:after="120"/>
              <w:ind w:firstLine="567"/>
              <w:jc w:val="both"/>
            </w:pPr>
            <w:r>
              <w:t>1. Tổ chức chủ trì có trách nhiệm công khai tại đơn vị các thông tin cơ bản về nhiệm vụ: tên nhiệm vụ, chủ nhiệm, tổng kinh phí, phương thức khoán chi và kết quả sử dụng phần kinh phí khoán chi còn dư (nếu có) để cán bộ, viên chức giám sát, trừ nhiệm vụ thuộc bí mật nhà nước.</w:t>
            </w:r>
          </w:p>
          <w:p w14:paraId="639EFD73" w14:textId="77777777" w:rsidR="00DC42F8" w:rsidRDefault="00DC42F8" w:rsidP="00DC42F8">
            <w:pPr>
              <w:spacing w:after="120"/>
              <w:ind w:firstLine="567"/>
              <w:jc w:val="both"/>
            </w:pPr>
            <w:r>
              <w:t xml:space="preserve">2. Tổ chức chủ trì có trách nhiệm giải trình về căn cứ lập dự toán, cơ cấu phân bổ kinh phí, tình hình sử dụng kinh phí khoán, sản phẩm đạt được, kinh phí còn dư, kinh </w:t>
            </w:r>
            <w:r>
              <w:lastRenderedPageBreak/>
              <w:t>phí phải hoàn trả, quyền sở hữu trí tuệ, tài sản hình thành và nghĩa vụ sau đánh giá cuối kỳ.</w:t>
            </w:r>
          </w:p>
          <w:p w14:paraId="7BD8CA27" w14:textId="3E1C0ACE" w:rsidR="00621AAE" w:rsidRDefault="00621AAE" w:rsidP="00621AAE">
            <w:pPr>
              <w:spacing w:after="40"/>
              <w:jc w:val="both"/>
            </w:pPr>
          </w:p>
        </w:tc>
        <w:tc>
          <w:tcPr>
            <w:tcW w:w="4996" w:type="dxa"/>
          </w:tcPr>
          <w:p w14:paraId="46D04070" w14:textId="77777777" w:rsidR="00621AAE" w:rsidRDefault="00621AAE" w:rsidP="00621AAE">
            <w:pPr>
              <w:spacing w:after="40"/>
              <w:jc w:val="both"/>
            </w:pPr>
            <w:r>
              <w:rPr>
                <w:b/>
                <w:color w:val="000000"/>
                <w:sz w:val="26"/>
              </w:rPr>
              <w:lastRenderedPageBreak/>
              <w:t>Quy định chi tiết</w:t>
            </w:r>
          </w:p>
          <w:p w14:paraId="3E44F5B5" w14:textId="77777777" w:rsidR="00621AAE" w:rsidRDefault="00621AAE" w:rsidP="00621AAE">
            <w:pPr>
              <w:spacing w:after="40"/>
              <w:jc w:val="both"/>
            </w:pPr>
            <w:r>
              <w:rPr>
                <w:color w:val="000000"/>
                <w:sz w:val="26"/>
              </w:rPr>
              <w:t>Bảo đảm nguyên tắc công khai ngân sách, dân chủ ở cơ sở; loại trừ nhiệm vụ thuộc bí mật nhà nước theo pháp luật về bảo vệ bí mật nhà nước.</w:t>
            </w:r>
          </w:p>
        </w:tc>
      </w:tr>
      <w:tr w:rsidR="00080F05" w14:paraId="105B5E34" w14:textId="77777777" w:rsidTr="006749A2">
        <w:trPr>
          <w:jc w:val="center"/>
        </w:trPr>
        <w:tc>
          <w:tcPr>
            <w:tcW w:w="3571" w:type="dxa"/>
          </w:tcPr>
          <w:p w14:paraId="73FF681C" w14:textId="7C22A16D" w:rsidR="00080F05" w:rsidRDefault="004C6970" w:rsidP="00080F05">
            <w:pPr>
              <w:spacing w:after="40"/>
              <w:rPr>
                <w:b/>
                <w:color w:val="000000"/>
                <w:sz w:val="26"/>
              </w:rPr>
            </w:pPr>
            <w:r>
              <w:t>- Luật Khoa học, công nghệ và đổi mới sáng tạo số 93/2025/QH15 (chấp nhận rủi ro trong nghiên cứu khoa học);</w:t>
            </w:r>
            <w:r>
              <w:br/>
              <w:t>- Nghị định số 265/2025/NĐ-CP, Điều 10, khoản 6 (xử lý tài chính khi nhiệm vụ không đạt kết quả).</w:t>
            </w:r>
          </w:p>
        </w:tc>
        <w:tc>
          <w:tcPr>
            <w:tcW w:w="5709" w:type="dxa"/>
          </w:tcPr>
          <w:p w14:paraId="696934F7" w14:textId="77777777" w:rsidR="00080F05" w:rsidRDefault="00080F05" w:rsidP="00080F05">
            <w:pPr>
              <w:spacing w:after="40"/>
              <w:jc w:val="both"/>
            </w:pPr>
            <w:r>
              <w:rPr>
                <w:b/>
                <w:color w:val="000000"/>
                <w:sz w:val="26"/>
              </w:rPr>
              <w:t>Điều 12. Xử lý tài chính đối với nhiệm vụ không đạt kết quả</w:t>
            </w:r>
          </w:p>
          <w:p w14:paraId="75A7C8D7" w14:textId="77777777" w:rsidR="004C6970" w:rsidRDefault="004C6970" w:rsidP="004C6970">
            <w:pPr>
              <w:spacing w:after="120"/>
              <w:ind w:firstLine="567"/>
              <w:jc w:val="both"/>
            </w:pPr>
            <w:r>
              <w:t>1. Cơ quan quản lý nhiệm vụ thành lập Hội đồng tư vấn để xem xét đối với các nhiệm vụ không đạt đầy đủ kết quả, sản phẩm theo thuyết minh; đánh giá nguyên nhân, xác định tỷ lệ khối lượng công việc đã thực hiện hợp pháp và kiến nghị phương án xử lý tài chính, làm căn cứ để cơ quan quản lý nhiệm vụ xem xét, quyết định việc miễn hoàn trả một phần hoặc toàn bộ kinh phí khoán chi đã sử dụng.</w:t>
            </w:r>
          </w:p>
          <w:p w14:paraId="40D0E2A1" w14:textId="77777777" w:rsidR="004C6970" w:rsidRDefault="004C6970" w:rsidP="004C6970">
            <w:pPr>
              <w:spacing w:after="120"/>
              <w:ind w:firstLine="567"/>
              <w:jc w:val="both"/>
            </w:pPr>
            <w:r>
              <w:t>2. Trong trường hợp đã thực hiện đầy đủ các quy định về quản lý nhiệm vụ khoa học, công nghệ và đổi mới sáng tạo, quy trình thực hiện, nội dung nghiên cứu và biện pháp phòng ngừa rủi ro nhưng kết quả của nhiệm vụ không đạt được mục tiêu đề ra, tổ chức chủ trì thực hiện nhiệm vụ khoa học, công nghệ và đổi mới sáng tạo không phải hoàn trả lại ngân sách nhà nước số kinh phí đã sử dụng đúng mục tiêu, phạm vi được nêu tại thuyết minh nhiệm vụ khoa học, công nghệ và đổi mới sáng tạo, trừ các khoản kinh phí sau:</w:t>
            </w:r>
          </w:p>
          <w:p w14:paraId="28932483" w14:textId="77777777" w:rsidR="004C6970" w:rsidRDefault="004C6970" w:rsidP="004C6970">
            <w:pPr>
              <w:spacing w:after="120"/>
              <w:ind w:firstLine="567"/>
              <w:jc w:val="both"/>
            </w:pPr>
            <w:r>
              <w:t xml:space="preserve">a) Kinh phí đã cấp cho nhiệm vụ khoa học, công nghệ và đổi mới sáng tạo tại tài khoản tiền gửi ở Kho bạc Nhà nước của tổ chức chủ trì thực hiện nhiệm vụ mà chưa sử dụng sau khi trừ đi số nợ phải trả của tổ chức chủ trì thực hiện nhiệm vụ. Số nợ phải trả của tổ chức chủ trì thực hiện nhiệm vụ là số tiền tổ chức chủ trì thực hiện nhiệm </w:t>
            </w:r>
            <w:r>
              <w:lastRenderedPageBreak/>
              <w:t>vụ phải thanh toán cho hàng hóa, dịch vụ, công lao động đã thực hiện mà chưa được thanh toán;</w:t>
            </w:r>
          </w:p>
          <w:p w14:paraId="2FEC9041" w14:textId="77777777" w:rsidR="004C6970" w:rsidRDefault="004C6970" w:rsidP="004C6970">
            <w:pPr>
              <w:spacing w:after="120"/>
              <w:ind w:firstLine="567"/>
              <w:jc w:val="both"/>
            </w:pPr>
            <w:r>
              <w:t>b) Kinh phí tổ chức chủ trì thực hiện nhiệm vụ khoa học, công nghệ và đổi mới sáng tạo đã tạm ứng cho các tổ chức, cá nhân có liên quan để triển khai thực hiện nội dung nghiên cứu hoặc cung ứng hàng hóa, dịch vụ nhưng chưa thực hiện. Kinh phí này được xác định tương ứng với phần công việc, hàng hóa, dịch vụ chưa thực hiện;</w:t>
            </w:r>
          </w:p>
          <w:p w14:paraId="2849F38F" w14:textId="6FD1C373" w:rsidR="00080F05" w:rsidRPr="004C6970" w:rsidRDefault="004C6970" w:rsidP="004C6970">
            <w:pPr>
              <w:spacing w:after="120"/>
              <w:ind w:firstLine="567"/>
              <w:jc w:val="both"/>
            </w:pPr>
            <w:r>
              <w:t>c) Kinh phí đã sử dụng không đúng mục tiêu, phạm vi, nội dung nghiên cứu được nêu tại thuyết minh nhiệm vụ khoa học, công nghệ và đổi mới sáng tạo</w:t>
            </w:r>
            <w:r w:rsidR="00080F05">
              <w:rPr>
                <w:color w:val="000000"/>
                <w:sz w:val="26"/>
              </w:rPr>
              <w:t>.</w:t>
            </w:r>
          </w:p>
        </w:tc>
        <w:tc>
          <w:tcPr>
            <w:tcW w:w="4996" w:type="dxa"/>
          </w:tcPr>
          <w:p w14:paraId="20A3D1D7" w14:textId="77777777" w:rsidR="00080F05" w:rsidRDefault="00080F05" w:rsidP="00080F05">
            <w:pPr>
              <w:spacing w:after="40"/>
              <w:jc w:val="both"/>
            </w:pPr>
            <w:r>
              <w:rPr>
                <w:b/>
                <w:color w:val="000000"/>
                <w:sz w:val="26"/>
              </w:rPr>
              <w:lastRenderedPageBreak/>
              <w:t>Quy định chi tiết</w:t>
            </w:r>
          </w:p>
          <w:p w14:paraId="38117251" w14:textId="47B5DF40" w:rsidR="00080F05" w:rsidRDefault="00080F05" w:rsidP="00080F05">
            <w:pPr>
              <w:spacing w:after="40"/>
              <w:jc w:val="both"/>
              <w:rPr>
                <w:b/>
                <w:color w:val="000000"/>
                <w:sz w:val="26"/>
              </w:rPr>
            </w:pPr>
            <w:r>
              <w:rPr>
                <w:color w:val="000000"/>
                <w:sz w:val="26"/>
              </w:rPr>
              <w:t>Cụ thể hóa nguyên tắc chấp nhận rủi ro trong nghiên cứu khoa học của Luật Khoa học, công nghệ và đổi mới sáng tạo và quy định về xử lý tài chính tại Nghị định số 265/2025/NĐ-CP; tổ chức chủ trì không phải hoàn trả kinh phí đã sử dụng đúng mục tiêu, phạm vi, trừ 03 trường hợp loại trừ (kinh phí chưa sử dụng tại tài khoản Kho bạc sau khi trừ nợ phải trả; kinh phí đã tạm ứng cho phần công việc, hàng hóa, dịch vụ chưa thực hiện; kinh phí sử dụng sai mục tiêu, phạm vi, nội dung nghiên cứu).</w:t>
            </w:r>
          </w:p>
        </w:tc>
      </w:tr>
      <w:tr w:rsidR="00621AAE" w14:paraId="34145439" w14:textId="77777777" w:rsidTr="006749A2">
        <w:trPr>
          <w:jc w:val="center"/>
        </w:trPr>
        <w:tc>
          <w:tcPr>
            <w:tcW w:w="14276" w:type="dxa"/>
            <w:gridSpan w:val="3"/>
            <w:shd w:val="clear" w:color="auto" w:fill="D9D9D9"/>
          </w:tcPr>
          <w:p w14:paraId="014AF7E2" w14:textId="77777777" w:rsidR="00621AAE" w:rsidRDefault="00621AAE" w:rsidP="00621AAE">
            <w:pPr>
              <w:spacing w:after="40"/>
              <w:jc w:val="both"/>
            </w:pPr>
            <w:r>
              <w:rPr>
                <w:b/>
                <w:color w:val="000000"/>
                <w:sz w:val="26"/>
              </w:rPr>
              <w:t>Chương VI. TỔ CHỨC THỰC HIỆN</w:t>
            </w:r>
          </w:p>
        </w:tc>
      </w:tr>
      <w:tr w:rsidR="00621AAE" w14:paraId="7CA0758E" w14:textId="77777777" w:rsidTr="006749A2">
        <w:trPr>
          <w:jc w:val="center"/>
        </w:trPr>
        <w:tc>
          <w:tcPr>
            <w:tcW w:w="3571" w:type="dxa"/>
          </w:tcPr>
          <w:p w14:paraId="0AEFCE40" w14:textId="4E5E2DC9" w:rsidR="00621AAE" w:rsidRDefault="004C6970" w:rsidP="00997BBA">
            <w:pPr>
              <w:spacing w:after="40"/>
            </w:pPr>
            <w:r>
              <w:t>- Luật Tổ chức chính quyền địa phương số 72/2025/QH15 (thẩm quyền, trách nhiệm của UBND);</w:t>
            </w:r>
            <w:r>
              <w:br/>
              <w:t>- Luật Ngân sách nhà nước số 89/2025/QH15 (trách nhiệm cơ quan quản lý ngân sách).</w:t>
            </w:r>
          </w:p>
        </w:tc>
        <w:tc>
          <w:tcPr>
            <w:tcW w:w="5709" w:type="dxa"/>
          </w:tcPr>
          <w:p w14:paraId="2CC82D6D" w14:textId="2D57A80E" w:rsidR="00621AAE" w:rsidRDefault="00621AAE" w:rsidP="00621AAE">
            <w:pPr>
              <w:spacing w:after="40"/>
              <w:jc w:val="both"/>
            </w:pPr>
            <w:r>
              <w:rPr>
                <w:b/>
                <w:color w:val="000000"/>
                <w:sz w:val="26"/>
              </w:rPr>
              <w:t>Điều 1</w:t>
            </w:r>
            <w:r w:rsidR="004C6970">
              <w:rPr>
                <w:b/>
                <w:color w:val="000000"/>
                <w:sz w:val="26"/>
              </w:rPr>
              <w:t>4.</w:t>
            </w:r>
            <w:r>
              <w:rPr>
                <w:b/>
                <w:color w:val="000000"/>
                <w:sz w:val="26"/>
              </w:rPr>
              <w:t xml:space="preserve"> Trách nhiệm các cơ quan quản lý</w:t>
            </w:r>
          </w:p>
          <w:p w14:paraId="16FC9578" w14:textId="77777777" w:rsidR="004C6970" w:rsidRDefault="004C6970" w:rsidP="004C6970">
            <w:pPr>
              <w:spacing w:after="120"/>
              <w:ind w:firstLine="567"/>
              <w:jc w:val="both"/>
            </w:pPr>
            <w:r>
              <w:t>1. Sở Khoa học và Công nghệ:</w:t>
            </w:r>
          </w:p>
          <w:p w14:paraId="72FED3E3" w14:textId="77777777" w:rsidR="004C6970" w:rsidRDefault="004C6970" w:rsidP="004C6970">
            <w:pPr>
              <w:spacing w:after="120"/>
              <w:ind w:firstLine="567"/>
              <w:jc w:val="both"/>
            </w:pPr>
            <w:r>
              <w:t>Chủ trì hướng dẫn tổ chức thực hiện Quy định này; phối hợp với Sở Tài chính kiểm tra định kỳ việc thực hiện Quy định;</w:t>
            </w:r>
          </w:p>
          <w:p w14:paraId="3513AD9E" w14:textId="77777777" w:rsidR="004C6970" w:rsidRDefault="004C6970" w:rsidP="004C6970">
            <w:pPr>
              <w:spacing w:after="120"/>
              <w:ind w:firstLine="567"/>
              <w:jc w:val="both"/>
            </w:pPr>
            <w:r>
              <w:t>2. Kho bạc Nhà nước khu vực II: Chỉ đạo Kho bạc các cấp thực hiện kiểm soát chi, tạm ứng, thanh toán và quyết toán kinh phí khoán đúng theo nguyên tắc.</w:t>
            </w:r>
          </w:p>
          <w:p w14:paraId="4EF84D81" w14:textId="77777777" w:rsidR="004C6970" w:rsidRDefault="004C6970" w:rsidP="004C6970">
            <w:pPr>
              <w:spacing w:after="120"/>
              <w:ind w:firstLine="567"/>
              <w:jc w:val="both"/>
            </w:pPr>
            <w:r>
              <w:t>3. Cơ quan quản lý nhiệm vụ:</w:t>
            </w:r>
          </w:p>
          <w:p w14:paraId="26C2362A" w14:textId="77777777" w:rsidR="004C6970" w:rsidRDefault="004C6970" w:rsidP="004C6970">
            <w:pPr>
              <w:spacing w:after="120"/>
              <w:ind w:firstLine="567"/>
              <w:jc w:val="both"/>
            </w:pPr>
            <w:r>
              <w:t>a) Chủ trì phối hợp với Sở Tài chính, Kho bạc Nhà nước khu vực II và các cơ quan liên quan hướng dẫn nghiệp vụ lập, thẩm định, phê duyệt, cấp phát, thanh toán, quyết toán kinh phí khoán; giải quyết vướng mắc phát sinh trong quá trình thực hiện;</w:t>
            </w:r>
          </w:p>
          <w:p w14:paraId="03A4BD1B" w14:textId="77777777" w:rsidR="004C6970" w:rsidRDefault="004C6970" w:rsidP="004C6970">
            <w:pPr>
              <w:spacing w:after="120"/>
              <w:ind w:firstLine="567"/>
              <w:jc w:val="both"/>
            </w:pPr>
            <w:r>
              <w:lastRenderedPageBreak/>
              <w:t>b) Tổ chức thực hiện Quy định này trong phạm vi chức năng, nhiệm vụ, thẩm quyền; ban hành hoặc tham mưu ban hành quy định chi tiết đối với nhiệm vụ thuộc thẩm quyền quản lý nếu cần thiết nhưng không trái Quy định này;</w:t>
            </w:r>
          </w:p>
          <w:p w14:paraId="61F77219" w14:textId="77777777" w:rsidR="004C6970" w:rsidRDefault="004C6970" w:rsidP="004C6970">
            <w:pPr>
              <w:spacing w:after="120"/>
              <w:ind w:firstLine="567"/>
              <w:jc w:val="both"/>
            </w:pPr>
            <w:r>
              <w:t>c) Bảo đảm bố trí, sử dụng kinh phí nhiệm vụ đúng mục tiêu, đúng đối tượng; tổ chức lựa chọn, giao nhiệm vụ, ký hợp đồng, kiểm tra, đánh giá, quyết toán, công khai kết quả theo quy định;</w:t>
            </w:r>
          </w:p>
          <w:p w14:paraId="16838B53" w14:textId="7D95C5F2" w:rsidR="00621AAE" w:rsidRDefault="004C6970" w:rsidP="004C6970">
            <w:pPr>
              <w:spacing w:after="120"/>
              <w:ind w:firstLine="567"/>
              <w:jc w:val="both"/>
            </w:pPr>
            <w:r>
              <w:t>d) Trong quá trình thực hiện, nếu phát sinh khó khăn, vướng mắc, các cơ quan, tổ chức, cá nhân phản ánh về Sở Khoa học và Công nghệ để tổng hợp, báo cáo Ủy ban nhân dân Thành phố xem xét, sửa đổi, bổ sung cho phù hợp.</w:t>
            </w:r>
          </w:p>
        </w:tc>
        <w:tc>
          <w:tcPr>
            <w:tcW w:w="4996" w:type="dxa"/>
          </w:tcPr>
          <w:p w14:paraId="4F84AD61" w14:textId="77777777" w:rsidR="00621AAE" w:rsidRDefault="00621AAE" w:rsidP="00621AAE">
            <w:pPr>
              <w:spacing w:after="40"/>
              <w:jc w:val="both"/>
            </w:pPr>
            <w:r>
              <w:rPr>
                <w:b/>
                <w:color w:val="000000"/>
                <w:sz w:val="26"/>
              </w:rPr>
              <w:lastRenderedPageBreak/>
              <w:t>Quy định chi tiết</w:t>
            </w:r>
          </w:p>
          <w:p w14:paraId="2FFC499A" w14:textId="31592D5F" w:rsidR="00621AAE" w:rsidRDefault="00621AAE" w:rsidP="00621AAE">
            <w:pPr>
              <w:spacing w:after="40"/>
              <w:jc w:val="both"/>
            </w:pPr>
            <w:r>
              <w:rPr>
                <w:color w:val="000000"/>
                <w:sz w:val="26"/>
              </w:rPr>
              <w:t>Phân công Sở Khoa học và Công nghệ là đầu mối; Kho bạc Nhà nước khu vực II kiểm soát chi theo nguyên tắc đơn giản hóa thủ tục tại Điều 10 Quy định; các sở, ban, ngành và UBND cấp xã tổ chức thực hiện; phù hợp thẩm quyền tổ chức bộ máy và phân công công tác của UBND Thành phố</w:t>
            </w:r>
            <w:r w:rsidR="002B3B56">
              <w:rPr>
                <w:color w:val="000000"/>
                <w:sz w:val="26"/>
              </w:rPr>
              <w:t>.</w:t>
            </w:r>
          </w:p>
        </w:tc>
      </w:tr>
      <w:tr w:rsidR="00621AAE" w14:paraId="53CF2AF5" w14:textId="77777777" w:rsidTr="006749A2">
        <w:trPr>
          <w:jc w:val="center"/>
        </w:trPr>
        <w:tc>
          <w:tcPr>
            <w:tcW w:w="3571" w:type="dxa"/>
          </w:tcPr>
          <w:p w14:paraId="32CAB5E8" w14:textId="71E1821F" w:rsidR="00621AAE" w:rsidRDefault="004C6970" w:rsidP="00997BBA">
            <w:pPr>
              <w:spacing w:after="40"/>
            </w:pPr>
            <w:r>
              <w:t>- Luật Khoa học, công nghệ và đổi mới sáng tạo số 93/2025/QH15 (quyền, trách nhiệm của tổ chức chủ trì, chủ nhiệm nhiệm vụ);</w:t>
            </w:r>
            <w:r>
              <w:br/>
              <w:t>- Nghị định số 265/2025/NĐ-CP, Điều 10 (khoán chi).</w:t>
            </w:r>
          </w:p>
        </w:tc>
        <w:tc>
          <w:tcPr>
            <w:tcW w:w="5709" w:type="dxa"/>
          </w:tcPr>
          <w:p w14:paraId="25B15FB9" w14:textId="09396215" w:rsidR="00621AAE" w:rsidRDefault="00621AAE" w:rsidP="00621AAE">
            <w:pPr>
              <w:spacing w:after="40"/>
              <w:jc w:val="both"/>
            </w:pPr>
            <w:r>
              <w:rPr>
                <w:b/>
                <w:color w:val="000000"/>
                <w:sz w:val="26"/>
              </w:rPr>
              <w:t>Điều 1</w:t>
            </w:r>
            <w:r w:rsidR="004C6970">
              <w:rPr>
                <w:b/>
                <w:color w:val="000000"/>
                <w:sz w:val="26"/>
              </w:rPr>
              <w:t>5</w:t>
            </w:r>
            <w:r>
              <w:rPr>
                <w:b/>
                <w:color w:val="000000"/>
                <w:sz w:val="26"/>
              </w:rPr>
              <w:t>. Trách nhiệm của tổ chức chủ trì, chủ nhiệm nhiệm vụ và tổ chức, cá nhân tham gia</w:t>
            </w:r>
          </w:p>
          <w:p w14:paraId="5882D9FB" w14:textId="77777777" w:rsidR="004B647B" w:rsidRDefault="004B647B" w:rsidP="004B647B">
            <w:pPr>
              <w:spacing w:after="120"/>
              <w:ind w:firstLine="567"/>
              <w:jc w:val="both"/>
            </w:pPr>
            <w:r>
              <w:t>1. Chủ nhiệm nhiệm vụ:</w:t>
            </w:r>
          </w:p>
          <w:p w14:paraId="2EF15910" w14:textId="77777777" w:rsidR="004B647B" w:rsidRDefault="004B647B" w:rsidP="004B647B">
            <w:pPr>
              <w:spacing w:after="120"/>
              <w:ind w:firstLine="567"/>
              <w:jc w:val="both"/>
            </w:pPr>
            <w:r>
              <w:t>a) Chịu trách nhiệm tổ chức thực hiện nhiệm vụ theo mục tiêu, nội dung, tiến độ, sản phẩm, chỉ tiêu chất lượng, dự toán và phương thức khoán chi đã được phê duyệt; kịp thời báo cáo khó khăn, vướng mắc, rủi ro phát sinh;</w:t>
            </w:r>
          </w:p>
          <w:p w14:paraId="7BF27D58" w14:textId="77777777" w:rsidR="004B647B" w:rsidRDefault="004B647B" w:rsidP="004B647B">
            <w:pPr>
              <w:spacing w:after="120"/>
              <w:ind w:firstLine="567"/>
              <w:jc w:val="both"/>
            </w:pPr>
            <w:r>
              <w:t>b) Chủ trì xây dựng dự toán chi tiết đối với nhiệm vụ được giao chủ nhiệm.</w:t>
            </w:r>
          </w:p>
          <w:p w14:paraId="20BFA490" w14:textId="77777777" w:rsidR="004B647B" w:rsidRDefault="004B647B" w:rsidP="004B647B">
            <w:pPr>
              <w:spacing w:after="120"/>
              <w:ind w:firstLine="567"/>
              <w:jc w:val="both"/>
            </w:pPr>
            <w:r>
              <w:t>2. Tổ chức chủ trì:</w:t>
            </w:r>
          </w:p>
          <w:p w14:paraId="7318EB12" w14:textId="77777777" w:rsidR="004B647B" w:rsidRDefault="004B647B" w:rsidP="004B647B">
            <w:pPr>
              <w:spacing w:after="120"/>
              <w:ind w:firstLine="567"/>
              <w:jc w:val="both"/>
            </w:pPr>
            <w:r>
              <w:t xml:space="preserve">a) Ban hành quy chế chi tiêu nội bộ, trong đó quy định các nội dung về phân bổ kinh phí, chi trả thù lao, quản lý kinh phí khoán còn dư, khen thưởng, xử lý vi </w:t>
            </w:r>
            <w:r>
              <w:lastRenderedPageBreak/>
              <w:t>phạm, lưu trữ hồ sơ, quản trị xung đột lợi ích và trách nhiệm giải trình;</w:t>
            </w:r>
          </w:p>
          <w:p w14:paraId="1DFF0BAD" w14:textId="77777777" w:rsidR="004B647B" w:rsidRDefault="004B647B" w:rsidP="004B647B">
            <w:pPr>
              <w:spacing w:after="120"/>
              <w:ind w:firstLine="567"/>
              <w:jc w:val="both"/>
            </w:pPr>
            <w:r>
              <w:t>b) Phê duyệt dự toán chi tiết đối với nhiệm vụ được giao chủ trì.</w:t>
            </w:r>
          </w:p>
          <w:p w14:paraId="20B1F8E7" w14:textId="5BF1F3CB" w:rsidR="00621AAE" w:rsidRDefault="004B647B" w:rsidP="00CE1F8F">
            <w:pPr>
              <w:spacing w:after="120"/>
              <w:ind w:firstLine="567"/>
              <w:jc w:val="both"/>
            </w:pPr>
            <w:r>
              <w:t>3. Đối với nhiệm vụ có nhiều tổ chức phối hợp, tổ chức chủ trì có trách nhiệm phân bổ kinh phí khoán cho từng đơn vị phối hợp theo nội dung, sản phẩm, tiến độ đã được phê duyệt và chịu trách nhiệm tổng hợp, giải trình với cơ quan quản lý nhiệm vụ.</w:t>
            </w:r>
          </w:p>
        </w:tc>
        <w:tc>
          <w:tcPr>
            <w:tcW w:w="4996" w:type="dxa"/>
          </w:tcPr>
          <w:p w14:paraId="66A66E56" w14:textId="77777777" w:rsidR="00621AAE" w:rsidRDefault="00621AAE" w:rsidP="00621AAE">
            <w:pPr>
              <w:spacing w:after="40"/>
              <w:jc w:val="both"/>
            </w:pPr>
            <w:r>
              <w:rPr>
                <w:b/>
                <w:color w:val="000000"/>
                <w:sz w:val="26"/>
              </w:rPr>
              <w:lastRenderedPageBreak/>
              <w:t>Quy định chi tiết</w:t>
            </w:r>
          </w:p>
          <w:p w14:paraId="19E3D0D5" w14:textId="77777777" w:rsidR="00621AAE" w:rsidRDefault="00621AAE" w:rsidP="00621AAE">
            <w:pPr>
              <w:spacing w:after="40"/>
              <w:jc w:val="both"/>
            </w:pPr>
            <w:r>
              <w:rPr>
                <w:color w:val="000000"/>
                <w:sz w:val="26"/>
              </w:rPr>
              <w:t>Gắn quyền tự chủ với nghĩa vụ ban hành quy chế chi tiêu nội bộ, quản trị xung đột lợi ích, phân bổ kinh phí cho đơn vị phối hợp và trách nhiệm giải trình.</w:t>
            </w:r>
          </w:p>
        </w:tc>
      </w:tr>
      <w:tr w:rsidR="00621AAE" w14:paraId="0CB0839B" w14:textId="77777777" w:rsidTr="006749A2">
        <w:trPr>
          <w:jc w:val="center"/>
        </w:trPr>
        <w:tc>
          <w:tcPr>
            <w:tcW w:w="3571" w:type="dxa"/>
          </w:tcPr>
          <w:p w14:paraId="4DAFDFF4" w14:textId="12FDB43F" w:rsidR="00621AAE" w:rsidRDefault="00CE1F8F" w:rsidP="00CE1F8F">
            <w:pPr>
              <w:spacing w:after="40"/>
              <w:jc w:val="both"/>
            </w:pPr>
            <w:r>
              <w:t>- Luật Ban hành văn bản quy phạm pháp luật số 64/2025/QH15 (sửa đổi, bổ sung bởi Luật số 87/2025/QH15) (hiệu lực, chuyển tiếp).</w:t>
            </w:r>
          </w:p>
        </w:tc>
        <w:tc>
          <w:tcPr>
            <w:tcW w:w="5709" w:type="dxa"/>
          </w:tcPr>
          <w:p w14:paraId="6F2F8382" w14:textId="52FDD145" w:rsidR="00621AAE" w:rsidRDefault="00621AAE" w:rsidP="00621AAE">
            <w:pPr>
              <w:spacing w:after="40"/>
              <w:jc w:val="both"/>
            </w:pPr>
            <w:r>
              <w:rPr>
                <w:b/>
                <w:color w:val="000000"/>
                <w:sz w:val="26"/>
              </w:rPr>
              <w:t>Điều 1</w:t>
            </w:r>
            <w:r w:rsidR="00CE1F8F">
              <w:rPr>
                <w:b/>
                <w:color w:val="000000"/>
                <w:sz w:val="26"/>
              </w:rPr>
              <w:t>6</w:t>
            </w:r>
            <w:r>
              <w:rPr>
                <w:b/>
                <w:color w:val="000000"/>
                <w:sz w:val="26"/>
              </w:rPr>
              <w:t>. Quy định chuyển tiếp</w:t>
            </w:r>
          </w:p>
          <w:p w14:paraId="40DF4148" w14:textId="77777777" w:rsidR="00CE1F8F" w:rsidRDefault="00CE1F8F" w:rsidP="00CE1F8F">
            <w:pPr>
              <w:spacing w:after="120"/>
              <w:ind w:firstLine="567"/>
              <w:jc w:val="both"/>
            </w:pPr>
            <w:r>
              <w:t>1. Nhiệm vụ đã được phê duyệt trước ngày Quyết định này có hiệu lực thi hành tiếp tục thực hiện theo quyết định phê duyệt, hợp đồng đã ký và quy định tại thời điểm phê duyệt.</w:t>
            </w:r>
          </w:p>
          <w:p w14:paraId="4FD82B1E" w14:textId="77777777" w:rsidR="00CE1F8F" w:rsidRDefault="00CE1F8F" w:rsidP="00CE1F8F">
            <w:pPr>
              <w:spacing w:after="120"/>
              <w:ind w:firstLine="567"/>
              <w:jc w:val="both"/>
            </w:pPr>
            <w:r>
              <w:t>2. Nhiệm vụ chưa được phê duyệt thì tiến hành cập nhật, rà soát để áp dụng phương thức khoán chi theo Quy định này.</w:t>
            </w:r>
          </w:p>
          <w:p w14:paraId="32FAEE13" w14:textId="77777777" w:rsidR="00CE1F8F" w:rsidRDefault="00CE1F8F" w:rsidP="00CE1F8F">
            <w:pPr>
              <w:spacing w:after="120"/>
              <w:ind w:firstLine="567"/>
              <w:jc w:val="both"/>
            </w:pPr>
            <w:r>
              <w:t>3. Trường hợp văn bản quy phạm pháp luật được viện dẫn tại Quy định này được sửa đổi, bổ sung hoặc thay thế thì áp dụng theo văn bản sửa đổi, bổ sung hoặc thay thế đó.</w:t>
            </w:r>
          </w:p>
          <w:p w14:paraId="0CD4F356" w14:textId="79AB6F71" w:rsidR="00621AAE" w:rsidRDefault="00621AAE" w:rsidP="00621AAE">
            <w:pPr>
              <w:spacing w:after="40"/>
              <w:jc w:val="both"/>
            </w:pPr>
          </w:p>
        </w:tc>
        <w:tc>
          <w:tcPr>
            <w:tcW w:w="4996" w:type="dxa"/>
          </w:tcPr>
          <w:p w14:paraId="6087ED4D" w14:textId="77777777" w:rsidR="00621AAE" w:rsidRDefault="00621AAE" w:rsidP="00621AAE">
            <w:pPr>
              <w:spacing w:after="40"/>
              <w:jc w:val="both"/>
            </w:pPr>
            <w:r>
              <w:rPr>
                <w:b/>
                <w:color w:val="000000"/>
                <w:sz w:val="26"/>
              </w:rPr>
              <w:t>Kế thừa</w:t>
            </w:r>
          </w:p>
          <w:p w14:paraId="59A7929D" w14:textId="77777777" w:rsidR="00621AAE" w:rsidRDefault="00621AAE" w:rsidP="00621AAE">
            <w:pPr>
              <w:spacing w:after="40"/>
              <w:jc w:val="both"/>
            </w:pPr>
            <w:r>
              <w:rPr>
                <w:color w:val="000000"/>
                <w:sz w:val="26"/>
              </w:rPr>
              <w:t>Phù hợp quy định về hiệu lực và chuyển tiếp của Luật Ban hành văn bản quy phạm pháp luật; bảo đảm không làm gián đoạn nhiệm vụ đang thực hiện; cho phép áp dụng quy định mới khi tổ chức chủ trì đề nghị và được chấp thuận; áp dụng văn bản sửa đổi, thay thế khi văn bản dẫn chiếu thay đổi.</w:t>
            </w:r>
          </w:p>
        </w:tc>
      </w:tr>
      <w:tr w:rsidR="00621AAE" w14:paraId="6F032B17" w14:textId="77777777" w:rsidTr="006749A2">
        <w:trPr>
          <w:jc w:val="center"/>
        </w:trPr>
        <w:tc>
          <w:tcPr>
            <w:tcW w:w="3571" w:type="dxa"/>
          </w:tcPr>
          <w:p w14:paraId="37D63D88" w14:textId="31036778" w:rsidR="00621AAE" w:rsidRDefault="00CE1F8F" w:rsidP="00CE1F8F">
            <w:pPr>
              <w:spacing w:after="40"/>
              <w:jc w:val="both"/>
            </w:pPr>
            <w:r>
              <w:t>- Luật Ban hành văn bản quy phạm pháp luật số 64/2025/QH15 (sửa đổi, bổ sung bởi Luật số 87/2025/QH15) (hiệu lực văn bản quy phạm pháp luật);</w:t>
            </w:r>
            <w:r>
              <w:br/>
            </w:r>
            <w:r>
              <w:lastRenderedPageBreak/>
              <w:t>- Nghị định số 30/2020/NĐ-CP (công tác văn thư).</w:t>
            </w:r>
          </w:p>
          <w:p w14:paraId="6AB57A5E" w14:textId="3A582E00" w:rsidR="00CE1F8F" w:rsidRPr="00CE1F8F" w:rsidRDefault="00CE1F8F" w:rsidP="00CE1F8F">
            <w:pPr>
              <w:jc w:val="center"/>
            </w:pPr>
          </w:p>
        </w:tc>
        <w:tc>
          <w:tcPr>
            <w:tcW w:w="5709" w:type="dxa"/>
          </w:tcPr>
          <w:p w14:paraId="4F2456AB" w14:textId="62E155F4" w:rsidR="00621AAE" w:rsidRDefault="00621AAE" w:rsidP="00621AAE">
            <w:pPr>
              <w:spacing w:after="40"/>
              <w:jc w:val="both"/>
            </w:pPr>
            <w:r>
              <w:rPr>
                <w:b/>
                <w:color w:val="000000"/>
                <w:sz w:val="26"/>
              </w:rPr>
              <w:lastRenderedPageBreak/>
              <w:t>Điều 1</w:t>
            </w:r>
            <w:r w:rsidR="00CE1F8F">
              <w:rPr>
                <w:b/>
                <w:color w:val="000000"/>
                <w:sz w:val="26"/>
              </w:rPr>
              <w:t>7</w:t>
            </w:r>
            <w:r>
              <w:rPr>
                <w:b/>
                <w:color w:val="000000"/>
                <w:sz w:val="26"/>
              </w:rPr>
              <w:t>. Hiệu lực và trách nhiệm thi hành</w:t>
            </w:r>
          </w:p>
          <w:p w14:paraId="7045A041" w14:textId="77777777" w:rsidR="00CE1F8F" w:rsidRDefault="00CE1F8F" w:rsidP="00CE1F8F">
            <w:pPr>
              <w:spacing w:after="120"/>
              <w:ind w:firstLine="567"/>
              <w:jc w:val="both"/>
            </w:pPr>
            <w:r>
              <w:t>1. Quyết định này có hiệu lực thi hành kể từ ngày      tháng      năm 2026.</w:t>
            </w:r>
          </w:p>
          <w:p w14:paraId="401DB4E3" w14:textId="619C97AF" w:rsidR="00621AAE" w:rsidRDefault="00CE1F8F" w:rsidP="008837E4">
            <w:pPr>
              <w:spacing w:after="120"/>
              <w:ind w:firstLine="567"/>
              <w:jc w:val="both"/>
            </w:pPr>
            <w:r>
              <w:t xml:space="preserve">2. Chánh Văn phòng Ủy ban nhân dân Thành phố, Giám đốc Sở Khoa học và Công nghệ, Giám đốc Kho bạc Nhà nước khu vực II, Thủ trưởng cơ quan quản lý nhiệm </w:t>
            </w:r>
            <w:r>
              <w:lastRenderedPageBreak/>
              <w:t>vụ và các tổ chức, cá nhân có liên quan chịu trách nhiệm thi hành Quyết định này./.</w:t>
            </w:r>
          </w:p>
        </w:tc>
        <w:tc>
          <w:tcPr>
            <w:tcW w:w="4996" w:type="dxa"/>
          </w:tcPr>
          <w:p w14:paraId="4EB14F57" w14:textId="77777777" w:rsidR="00621AAE" w:rsidRDefault="00621AAE" w:rsidP="00621AAE">
            <w:pPr>
              <w:spacing w:after="40"/>
              <w:jc w:val="both"/>
            </w:pPr>
            <w:r>
              <w:rPr>
                <w:b/>
                <w:color w:val="000000"/>
                <w:sz w:val="26"/>
              </w:rPr>
              <w:lastRenderedPageBreak/>
              <w:t>Quy định chi tiết</w:t>
            </w:r>
          </w:p>
          <w:p w14:paraId="033DA582" w14:textId="77777777" w:rsidR="00621AAE" w:rsidRDefault="00621AAE" w:rsidP="00621AAE">
            <w:pPr>
              <w:spacing w:after="40"/>
              <w:jc w:val="both"/>
            </w:pPr>
            <w:r>
              <w:rPr>
                <w:color w:val="000000"/>
                <w:sz w:val="26"/>
              </w:rPr>
              <w:t>Xác định thời điểm có hiệu lực và chủ thể chịu trách nhiệm thi hành theo Luật Ban hành văn bản quy phạm pháp luật và Nghị định số 30/2020/NĐ-CP về công tác văn thư.</w:t>
            </w:r>
          </w:p>
        </w:tc>
      </w:tr>
      <w:tr w:rsidR="00621AAE" w14:paraId="72CB4BA8" w14:textId="77777777" w:rsidTr="006749A2">
        <w:trPr>
          <w:jc w:val="center"/>
        </w:trPr>
        <w:tc>
          <w:tcPr>
            <w:tcW w:w="14276" w:type="dxa"/>
            <w:gridSpan w:val="3"/>
            <w:shd w:val="clear" w:color="auto" w:fill="D9D9D9"/>
          </w:tcPr>
          <w:p w14:paraId="6798FA68" w14:textId="77777777" w:rsidR="00621AAE" w:rsidRDefault="00621AAE" w:rsidP="00621AAE">
            <w:pPr>
              <w:spacing w:after="40"/>
              <w:jc w:val="both"/>
            </w:pPr>
            <w:r>
              <w:rPr>
                <w:b/>
                <w:color w:val="000000"/>
                <w:sz w:val="26"/>
              </w:rPr>
              <w:t>Phụ lục</w:t>
            </w:r>
          </w:p>
        </w:tc>
      </w:tr>
      <w:tr w:rsidR="00621AAE" w14:paraId="42C185AD" w14:textId="77777777" w:rsidTr="006749A2">
        <w:trPr>
          <w:jc w:val="center"/>
        </w:trPr>
        <w:tc>
          <w:tcPr>
            <w:tcW w:w="3571" w:type="dxa"/>
          </w:tcPr>
          <w:p w14:paraId="61150249" w14:textId="77777777" w:rsidR="008837E4" w:rsidRDefault="008837E4" w:rsidP="008837E4">
            <w:pPr>
              <w:jc w:val="both"/>
            </w:pPr>
            <w:r>
              <w:t xml:space="preserve"> Nghị quyết số 24/2026/NQ-HĐND ngày 19/6/2026 của HĐND Thành phố (định mức chi);</w:t>
            </w:r>
          </w:p>
          <w:p w14:paraId="7C22711A" w14:textId="7E05A1F4" w:rsidR="00621AAE" w:rsidRDefault="008837E4" w:rsidP="008837E4">
            <w:pPr>
              <w:spacing w:after="40"/>
              <w:jc w:val="both"/>
            </w:pPr>
            <w:r>
              <w:t>- Luật Phát triển đô thị số 18/2026/QH16, điểm a khoản 3 Điều 30 (thẩm quyền quy định khoán chi).</w:t>
            </w:r>
          </w:p>
        </w:tc>
        <w:tc>
          <w:tcPr>
            <w:tcW w:w="5709" w:type="dxa"/>
          </w:tcPr>
          <w:p w14:paraId="5059E310" w14:textId="77777777" w:rsidR="00621AAE" w:rsidRDefault="00621AAE" w:rsidP="00621AAE">
            <w:pPr>
              <w:spacing w:after="40"/>
              <w:jc w:val="both"/>
            </w:pPr>
            <w:r>
              <w:rPr>
                <w:b/>
                <w:color w:val="000000"/>
                <w:sz w:val="26"/>
              </w:rPr>
              <w:t>Phụ lục. Định mức áp dụng hệ số k</w:t>
            </w:r>
          </w:p>
          <w:p w14:paraId="2368B6F4" w14:textId="77777777" w:rsidR="00621AAE" w:rsidRDefault="00621AAE" w:rsidP="00621AAE">
            <w:pPr>
              <w:spacing w:after="40"/>
              <w:jc w:val="both"/>
            </w:pPr>
            <w:r>
              <w:rPr>
                <w:color w:val="000000"/>
                <w:sz w:val="26"/>
              </w:rPr>
              <w:t>04 mức: k = 1; k = 1,5; k = 2, 3, 4 hoặc 5; k &gt; 5, gắn với loại hình nhiệm vụ (trọng điểm hoặc không trọng điểm) và yêu cầu về kết quả, sản phẩm (công bố quốc tế Q1/Q2, hội thảo quốc tế hạng A/A*, bằng độc quyền sáng chế, bằng bảo hộ giống cây trồng, bí quyết công nghệ, sản phẩm thương mại hóa, chính sách/giải pháp được chấp nhận áp dụng thử nghiệm).</w:t>
            </w:r>
          </w:p>
        </w:tc>
        <w:tc>
          <w:tcPr>
            <w:tcW w:w="4996" w:type="dxa"/>
          </w:tcPr>
          <w:p w14:paraId="033F75D4" w14:textId="77777777" w:rsidR="00621AAE" w:rsidRDefault="00621AAE" w:rsidP="00621AAE">
            <w:pPr>
              <w:spacing w:after="40"/>
              <w:jc w:val="both"/>
            </w:pPr>
            <w:r>
              <w:rPr>
                <w:b/>
                <w:color w:val="000000"/>
                <w:sz w:val="26"/>
              </w:rPr>
              <w:t>Điểm mới - đặc thù Thành phố</w:t>
            </w:r>
          </w:p>
          <w:p w14:paraId="3497E88F" w14:textId="2CC7AB37" w:rsidR="00621AAE" w:rsidRDefault="008837E4" w:rsidP="00621AAE">
            <w:pPr>
              <w:spacing w:after="40"/>
              <w:jc w:val="both"/>
            </w:pPr>
            <w:r>
              <w:rPr>
                <w:color w:val="000000"/>
                <w:sz w:val="26"/>
              </w:rPr>
              <w:t>Đ</w:t>
            </w:r>
            <w:r w:rsidR="00621AAE">
              <w:rPr>
                <w:color w:val="000000"/>
                <w:sz w:val="26"/>
              </w:rPr>
              <w:t>ịnh lượng hóa chất lượng đầu ra, bảo đảm minh bạch, chống cào bằng, khuyến khích nhiệm vụ trọng điểm; phù hợp định mức tại Nghị quyết số 24/2026/NQ-HĐND và thẩm quyền được giao tại điểm a khoản 3 Điều 30 Luật Phát triển đô thị.</w:t>
            </w:r>
          </w:p>
        </w:tc>
      </w:tr>
    </w:tbl>
    <w:p w14:paraId="02E36A9F" w14:textId="77777777" w:rsidR="006A56D3" w:rsidRPr="006A56D3" w:rsidRDefault="006A56D3" w:rsidP="006A56D3">
      <w:pPr>
        <w:spacing w:before="120" w:after="120" w:line="240" w:lineRule="auto"/>
        <w:rPr>
          <w:rFonts w:cs="Times New Roman"/>
          <w:sz w:val="26"/>
          <w:szCs w:val="26"/>
        </w:rPr>
      </w:pPr>
      <w:r w:rsidRPr="006A56D3">
        <w:rPr>
          <w:rFonts w:cs="Times New Roman"/>
          <w:sz w:val="26"/>
          <w:szCs w:val="26"/>
        </w:rPr>
        <w:t>Ghi chú:</w:t>
      </w:r>
    </w:p>
    <w:p w14:paraId="6FAD85A2" w14:textId="0F2DA090" w:rsidR="006A56D3" w:rsidRPr="006A56D3" w:rsidRDefault="006A56D3" w:rsidP="006A56D3">
      <w:pPr>
        <w:spacing w:before="120" w:after="120" w:line="240" w:lineRule="auto"/>
        <w:rPr>
          <w:rFonts w:cs="Times New Roman"/>
          <w:sz w:val="26"/>
          <w:szCs w:val="26"/>
        </w:rPr>
      </w:pPr>
      <w:r w:rsidRPr="006A56D3">
        <w:rPr>
          <w:rFonts w:cs="Times New Roman"/>
          <w:sz w:val="26"/>
          <w:szCs w:val="26"/>
        </w:rPr>
        <w:t>(</w:t>
      </w:r>
      <w:r>
        <w:rPr>
          <w:rFonts w:cs="Times New Roman"/>
          <w:sz w:val="26"/>
          <w:szCs w:val="26"/>
        </w:rPr>
        <w:t>1</w:t>
      </w:r>
      <w:r w:rsidRPr="006A56D3">
        <w:rPr>
          <w:rFonts w:cs="Times New Roman"/>
          <w:sz w:val="26"/>
          <w:szCs w:val="26"/>
        </w:rPr>
        <w:t>) Tên dự án, dự thảo văn bản quy phạm pháp luật sửa đổi, bổ sung, thay thế, bãi bỏ văn bản quy phạm pháp luật hiện hành.</w:t>
      </w:r>
    </w:p>
    <w:p w14:paraId="0282FA3B" w14:textId="08A55057" w:rsidR="006A56D3" w:rsidRPr="006A56D3" w:rsidRDefault="006A56D3" w:rsidP="006A56D3">
      <w:pPr>
        <w:spacing w:before="120" w:after="120" w:line="240" w:lineRule="auto"/>
        <w:rPr>
          <w:rFonts w:cs="Times New Roman"/>
          <w:sz w:val="26"/>
          <w:szCs w:val="26"/>
        </w:rPr>
      </w:pPr>
      <w:r w:rsidRPr="006A56D3">
        <w:rPr>
          <w:rFonts w:cs="Times New Roman"/>
          <w:sz w:val="26"/>
          <w:szCs w:val="26"/>
        </w:rPr>
        <w:t>(</w:t>
      </w:r>
      <w:r>
        <w:rPr>
          <w:rFonts w:cs="Times New Roman"/>
          <w:sz w:val="26"/>
          <w:szCs w:val="26"/>
        </w:rPr>
        <w:t>2</w:t>
      </w:r>
      <w:r w:rsidRPr="006A56D3">
        <w:rPr>
          <w:rFonts w:cs="Times New Roman"/>
          <w:sz w:val="26"/>
          <w:szCs w:val="26"/>
        </w:rPr>
        <w:t>) Tên văn bản quy phạm pháp luật hiện hành.</w:t>
      </w:r>
    </w:p>
    <w:sectPr w:rsidR="006A56D3" w:rsidRPr="006A56D3" w:rsidSect="00F73663">
      <w:headerReference w:type="default" r:id="rId8"/>
      <w:pgSz w:w="16838" w:h="11906" w:orient="landscape" w:code="9"/>
      <w:pgMar w:top="1134" w:right="1134" w:bottom="1134" w:left="141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E225B1" w14:textId="77777777" w:rsidR="002F45E3" w:rsidRDefault="002F45E3" w:rsidP="00F73663">
      <w:pPr>
        <w:spacing w:after="0" w:line="240" w:lineRule="auto"/>
      </w:pPr>
      <w:r>
        <w:separator/>
      </w:r>
    </w:p>
  </w:endnote>
  <w:endnote w:type="continuationSeparator" w:id="0">
    <w:p w14:paraId="774D6B23" w14:textId="77777777" w:rsidR="002F45E3" w:rsidRDefault="002F45E3" w:rsidP="00F736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891675" w14:textId="77777777" w:rsidR="002F45E3" w:rsidRDefault="002F45E3" w:rsidP="00F73663">
      <w:pPr>
        <w:spacing w:after="0" w:line="240" w:lineRule="auto"/>
      </w:pPr>
      <w:r>
        <w:separator/>
      </w:r>
    </w:p>
  </w:footnote>
  <w:footnote w:type="continuationSeparator" w:id="0">
    <w:p w14:paraId="0725866E" w14:textId="77777777" w:rsidR="002F45E3" w:rsidRDefault="002F45E3" w:rsidP="00F736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30993288"/>
      <w:docPartObj>
        <w:docPartGallery w:val="Page Numbers (Top of Page)"/>
        <w:docPartUnique/>
      </w:docPartObj>
    </w:sdtPr>
    <w:sdtEndPr>
      <w:rPr>
        <w:noProof/>
      </w:rPr>
    </w:sdtEndPr>
    <w:sdtContent>
      <w:p w14:paraId="0C501FCD" w14:textId="77777777" w:rsidR="00F73663" w:rsidRDefault="00F73663">
        <w:pPr>
          <w:pStyle w:val="Header"/>
          <w:jc w:val="center"/>
        </w:pPr>
        <w:r>
          <w:fldChar w:fldCharType="begin"/>
        </w:r>
        <w:r>
          <w:instrText xml:space="preserve"> PAGE   \* MERGEFORMAT </w:instrText>
        </w:r>
        <w:r>
          <w:fldChar w:fldCharType="separate"/>
        </w:r>
        <w:r w:rsidR="00813295">
          <w:rPr>
            <w:noProof/>
          </w:rPr>
          <w:t>2</w:t>
        </w:r>
        <w:r>
          <w:rPr>
            <w:noProof/>
          </w:rPr>
          <w:fldChar w:fldCharType="end"/>
        </w:r>
      </w:p>
    </w:sdtContent>
  </w:sdt>
  <w:p w14:paraId="78E0B4CA" w14:textId="77777777" w:rsidR="00F73663" w:rsidRDefault="00F7366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36317438">
    <w:abstractNumId w:val="8"/>
  </w:num>
  <w:num w:numId="2" w16cid:durableId="191919988">
    <w:abstractNumId w:val="6"/>
  </w:num>
  <w:num w:numId="3" w16cid:durableId="1925142304">
    <w:abstractNumId w:val="5"/>
  </w:num>
  <w:num w:numId="4" w16cid:durableId="482696729">
    <w:abstractNumId w:val="4"/>
  </w:num>
  <w:num w:numId="5" w16cid:durableId="331614693">
    <w:abstractNumId w:val="7"/>
  </w:num>
  <w:num w:numId="6" w16cid:durableId="817383659">
    <w:abstractNumId w:val="3"/>
  </w:num>
  <w:num w:numId="7" w16cid:durableId="964194765">
    <w:abstractNumId w:val="2"/>
  </w:num>
  <w:num w:numId="8" w16cid:durableId="1903246399">
    <w:abstractNumId w:val="1"/>
  </w:num>
  <w:num w:numId="9" w16cid:durableId="7227520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1543B"/>
    <w:rsid w:val="00034616"/>
    <w:rsid w:val="0006063C"/>
    <w:rsid w:val="00071355"/>
    <w:rsid w:val="00080F05"/>
    <w:rsid w:val="0015074B"/>
    <w:rsid w:val="00155120"/>
    <w:rsid w:val="001D2DE9"/>
    <w:rsid w:val="001E3EDD"/>
    <w:rsid w:val="00241A7C"/>
    <w:rsid w:val="0029639D"/>
    <w:rsid w:val="002B284E"/>
    <w:rsid w:val="002B3B56"/>
    <w:rsid w:val="002F45E3"/>
    <w:rsid w:val="003067A7"/>
    <w:rsid w:val="0031290C"/>
    <w:rsid w:val="00321924"/>
    <w:rsid w:val="00326F90"/>
    <w:rsid w:val="00332639"/>
    <w:rsid w:val="00353C1B"/>
    <w:rsid w:val="0037061A"/>
    <w:rsid w:val="00395F73"/>
    <w:rsid w:val="003C7186"/>
    <w:rsid w:val="00445B3D"/>
    <w:rsid w:val="004B647B"/>
    <w:rsid w:val="004C6970"/>
    <w:rsid w:val="00504BD9"/>
    <w:rsid w:val="00561910"/>
    <w:rsid w:val="005879DD"/>
    <w:rsid w:val="005A77F4"/>
    <w:rsid w:val="005C1735"/>
    <w:rsid w:val="00607D68"/>
    <w:rsid w:val="00621AAE"/>
    <w:rsid w:val="00653CEE"/>
    <w:rsid w:val="006749A2"/>
    <w:rsid w:val="006A56D3"/>
    <w:rsid w:val="007B7F5F"/>
    <w:rsid w:val="00813295"/>
    <w:rsid w:val="0082234A"/>
    <w:rsid w:val="008837E4"/>
    <w:rsid w:val="008D7B14"/>
    <w:rsid w:val="008E0F30"/>
    <w:rsid w:val="00942017"/>
    <w:rsid w:val="009D255E"/>
    <w:rsid w:val="00A27B8B"/>
    <w:rsid w:val="00A55ED1"/>
    <w:rsid w:val="00A7467B"/>
    <w:rsid w:val="00AA1D8D"/>
    <w:rsid w:val="00AB123F"/>
    <w:rsid w:val="00B127A1"/>
    <w:rsid w:val="00B47730"/>
    <w:rsid w:val="00B54697"/>
    <w:rsid w:val="00B720AC"/>
    <w:rsid w:val="00BA6715"/>
    <w:rsid w:val="00BB5AAC"/>
    <w:rsid w:val="00BF5447"/>
    <w:rsid w:val="00C40C8E"/>
    <w:rsid w:val="00C54DC6"/>
    <w:rsid w:val="00C667E2"/>
    <w:rsid w:val="00C871C2"/>
    <w:rsid w:val="00CB0664"/>
    <w:rsid w:val="00CE1F8F"/>
    <w:rsid w:val="00DC42F8"/>
    <w:rsid w:val="00DD70F2"/>
    <w:rsid w:val="00DD7D36"/>
    <w:rsid w:val="00E57C62"/>
    <w:rsid w:val="00E84183"/>
    <w:rsid w:val="00EE01D3"/>
    <w:rsid w:val="00F2411A"/>
    <w:rsid w:val="00F2622F"/>
    <w:rsid w:val="00F57A51"/>
    <w:rsid w:val="00F73663"/>
    <w:rsid w:val="00FC0B10"/>
    <w:rsid w:val="00FC693F"/>
    <w:rsid w:val="00FD7E37"/>
    <w:rsid w:val="00FD7E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D07EDCD"/>
  <w14:defaultImageDpi w14:val="300"/>
  <w15:docId w15:val="{5F469AD5-08C8-444D-8719-A4EC43756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eastAsia="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FootnoteText">
    <w:name w:val="footnote text"/>
    <w:basedOn w:val="Normal"/>
    <w:link w:val="FootnoteTextChar"/>
    <w:uiPriority w:val="99"/>
    <w:semiHidden/>
    <w:unhideWhenUsed/>
    <w:rsid w:val="00241A7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41A7C"/>
    <w:rPr>
      <w:rFonts w:ascii="Times New Roman" w:eastAsia="Times New Roman" w:hAnsi="Times New Roman"/>
      <w:sz w:val="20"/>
      <w:szCs w:val="20"/>
    </w:rPr>
  </w:style>
  <w:style w:type="character" w:styleId="FootnoteReference">
    <w:name w:val="footnote reference"/>
    <w:basedOn w:val="DefaultParagraphFont"/>
    <w:uiPriority w:val="99"/>
    <w:semiHidden/>
    <w:unhideWhenUsed/>
    <w:rsid w:val="00241A7C"/>
    <w:rPr>
      <w:vertAlign w:val="superscript"/>
    </w:rPr>
  </w:style>
  <w:style w:type="paragraph" w:customStyle="1" w:styleId="pdq2pgselectionanchorcontainer">
    <w:name w:val="pdq2pg_selectionanchorcontainer"/>
    <w:basedOn w:val="Normal"/>
    <w:rsid w:val="005A77F4"/>
    <w:pPr>
      <w:spacing w:before="100" w:beforeAutospacing="1" w:after="100" w:afterAutospacing="1" w:line="240" w:lineRule="auto"/>
    </w:pPr>
    <w:rPr>
      <w:rFonts w:cs="Times New Roman"/>
      <w:szCs w:val="24"/>
    </w:rPr>
  </w:style>
  <w:style w:type="paragraph" w:styleId="NormalWeb">
    <w:name w:val="Normal (Web)"/>
    <w:basedOn w:val="Normal"/>
    <w:uiPriority w:val="99"/>
    <w:unhideWhenUsed/>
    <w:qFormat/>
    <w:rsid w:val="005A77F4"/>
    <w:pPr>
      <w:spacing w:before="100" w:beforeAutospacing="1" w:after="100" w:afterAutospacing="1" w:line="240" w:lineRule="auto"/>
    </w:pPr>
    <w:rPr>
      <w:rFonts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420351">
      <w:bodyDiv w:val="1"/>
      <w:marLeft w:val="0"/>
      <w:marRight w:val="0"/>
      <w:marTop w:val="0"/>
      <w:marBottom w:val="0"/>
      <w:divBdr>
        <w:top w:val="none" w:sz="0" w:space="0" w:color="auto"/>
        <w:left w:val="none" w:sz="0" w:space="0" w:color="auto"/>
        <w:bottom w:val="none" w:sz="0" w:space="0" w:color="auto"/>
        <w:right w:val="none" w:sz="0" w:space="0" w:color="auto"/>
      </w:divBdr>
    </w:div>
    <w:div w:id="47729303">
      <w:bodyDiv w:val="1"/>
      <w:marLeft w:val="0"/>
      <w:marRight w:val="0"/>
      <w:marTop w:val="0"/>
      <w:marBottom w:val="0"/>
      <w:divBdr>
        <w:top w:val="none" w:sz="0" w:space="0" w:color="auto"/>
        <w:left w:val="none" w:sz="0" w:space="0" w:color="auto"/>
        <w:bottom w:val="none" w:sz="0" w:space="0" w:color="auto"/>
        <w:right w:val="none" w:sz="0" w:space="0" w:color="auto"/>
      </w:divBdr>
    </w:div>
    <w:div w:id="1025522864">
      <w:bodyDiv w:val="1"/>
      <w:marLeft w:val="0"/>
      <w:marRight w:val="0"/>
      <w:marTop w:val="0"/>
      <w:marBottom w:val="0"/>
      <w:divBdr>
        <w:top w:val="none" w:sz="0" w:space="0" w:color="auto"/>
        <w:left w:val="none" w:sz="0" w:space="0" w:color="auto"/>
        <w:bottom w:val="none" w:sz="0" w:space="0" w:color="auto"/>
        <w:right w:val="none" w:sz="0" w:space="0" w:color="auto"/>
      </w:divBdr>
    </w:div>
    <w:div w:id="1551265221">
      <w:bodyDiv w:val="1"/>
      <w:marLeft w:val="0"/>
      <w:marRight w:val="0"/>
      <w:marTop w:val="0"/>
      <w:marBottom w:val="0"/>
      <w:divBdr>
        <w:top w:val="none" w:sz="0" w:space="0" w:color="auto"/>
        <w:left w:val="none" w:sz="0" w:space="0" w:color="auto"/>
        <w:bottom w:val="none" w:sz="0" w:space="0" w:color="auto"/>
        <w:right w:val="none" w:sz="0" w:space="0" w:color="auto"/>
      </w:divBdr>
      <w:divsChild>
        <w:div w:id="1154762339">
          <w:marLeft w:val="0"/>
          <w:marRight w:val="0"/>
          <w:marTop w:val="0"/>
          <w:marBottom w:val="0"/>
          <w:divBdr>
            <w:top w:val="none" w:sz="0" w:space="0" w:color="auto"/>
            <w:left w:val="none" w:sz="0" w:space="0" w:color="auto"/>
            <w:bottom w:val="none" w:sz="0" w:space="0" w:color="auto"/>
            <w:right w:val="none" w:sz="0" w:space="0" w:color="auto"/>
          </w:divBdr>
          <w:divsChild>
            <w:div w:id="94597039">
              <w:marLeft w:val="0"/>
              <w:marRight w:val="0"/>
              <w:marTop w:val="0"/>
              <w:marBottom w:val="0"/>
              <w:divBdr>
                <w:top w:val="none" w:sz="0" w:space="0" w:color="auto"/>
                <w:left w:val="none" w:sz="0" w:space="0" w:color="auto"/>
                <w:bottom w:val="none" w:sz="0" w:space="0" w:color="auto"/>
                <w:right w:val="none" w:sz="0" w:space="0" w:color="auto"/>
              </w:divBdr>
              <w:divsChild>
                <w:div w:id="545877320">
                  <w:marLeft w:val="0"/>
                  <w:marRight w:val="0"/>
                  <w:marTop w:val="0"/>
                  <w:marBottom w:val="0"/>
                  <w:divBdr>
                    <w:top w:val="none" w:sz="0" w:space="0" w:color="auto"/>
                    <w:left w:val="none" w:sz="0" w:space="0" w:color="auto"/>
                    <w:bottom w:val="none" w:sz="0" w:space="0" w:color="auto"/>
                    <w:right w:val="none" w:sz="0" w:space="0" w:color="auto"/>
                  </w:divBdr>
                  <w:divsChild>
                    <w:div w:id="409929165">
                      <w:marLeft w:val="0"/>
                      <w:marRight w:val="0"/>
                      <w:marTop w:val="0"/>
                      <w:marBottom w:val="0"/>
                      <w:divBdr>
                        <w:top w:val="none" w:sz="0" w:space="0" w:color="auto"/>
                        <w:left w:val="none" w:sz="0" w:space="0" w:color="auto"/>
                        <w:bottom w:val="none" w:sz="0" w:space="0" w:color="auto"/>
                        <w:right w:val="none" w:sz="0" w:space="0" w:color="auto"/>
                      </w:divBdr>
                      <w:divsChild>
                        <w:div w:id="1118840081">
                          <w:marLeft w:val="0"/>
                          <w:marRight w:val="0"/>
                          <w:marTop w:val="0"/>
                          <w:marBottom w:val="0"/>
                          <w:divBdr>
                            <w:top w:val="none" w:sz="0" w:space="0" w:color="auto"/>
                            <w:left w:val="none" w:sz="0" w:space="0" w:color="auto"/>
                            <w:bottom w:val="none" w:sz="0" w:space="0" w:color="auto"/>
                            <w:right w:val="none" w:sz="0" w:space="0" w:color="auto"/>
                          </w:divBdr>
                          <w:divsChild>
                            <w:div w:id="210383871">
                              <w:marLeft w:val="0"/>
                              <w:marRight w:val="0"/>
                              <w:marTop w:val="0"/>
                              <w:marBottom w:val="0"/>
                              <w:divBdr>
                                <w:top w:val="none" w:sz="0" w:space="0" w:color="auto"/>
                                <w:left w:val="none" w:sz="0" w:space="0" w:color="auto"/>
                                <w:bottom w:val="none" w:sz="0" w:space="0" w:color="auto"/>
                                <w:right w:val="none" w:sz="0" w:space="0" w:color="auto"/>
                              </w:divBdr>
                              <w:divsChild>
                                <w:div w:id="2042390052">
                                  <w:marLeft w:val="0"/>
                                  <w:marRight w:val="0"/>
                                  <w:marTop w:val="0"/>
                                  <w:marBottom w:val="0"/>
                                  <w:divBdr>
                                    <w:top w:val="none" w:sz="0" w:space="0" w:color="auto"/>
                                    <w:left w:val="none" w:sz="0" w:space="0" w:color="auto"/>
                                    <w:bottom w:val="none" w:sz="0" w:space="0" w:color="auto"/>
                                    <w:right w:val="none" w:sz="0" w:space="0" w:color="auto"/>
                                  </w:divBdr>
                                  <w:divsChild>
                                    <w:div w:id="1610501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94EF71-8CA3-44B0-B832-8775583D0F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12</Pages>
  <Words>3408</Words>
  <Characters>19429</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22792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Thong Duong Bao</cp:lastModifiedBy>
  <cp:revision>18</cp:revision>
  <dcterms:created xsi:type="dcterms:W3CDTF">2026-08-05T08:14:00Z</dcterms:created>
  <dcterms:modified xsi:type="dcterms:W3CDTF">2026-09-15T08:45:00Z</dcterms:modified>
  <cp:category/>
</cp:coreProperties>
</file>