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39" w:type="dxa"/>
        <w:jc w:val="center"/>
        <w:tblCellMar>
          <w:left w:w="85" w:type="dxa"/>
          <w:right w:w="85" w:type="dxa"/>
        </w:tblCellMar>
        <w:tblLook w:val="0000" w:firstRow="0" w:lastRow="0" w:firstColumn="0" w:lastColumn="0" w:noHBand="0" w:noVBand="0"/>
      </w:tblPr>
      <w:tblGrid>
        <w:gridCol w:w="4228"/>
        <w:gridCol w:w="5811"/>
      </w:tblGrid>
      <w:tr w:rsidR="00BB5FD3" w:rsidRPr="00BB5FD3" w14:paraId="6841E8C2" w14:textId="77777777" w:rsidTr="00997BBA">
        <w:trPr>
          <w:cantSplit/>
          <w:trHeight w:val="1560"/>
          <w:jc w:val="center"/>
        </w:trPr>
        <w:tc>
          <w:tcPr>
            <w:tcW w:w="4228" w:type="dxa"/>
          </w:tcPr>
          <w:p w14:paraId="3129CA6E" w14:textId="77777777" w:rsidR="00BB5FD3" w:rsidRPr="00BB5FD3" w:rsidRDefault="00BB5FD3" w:rsidP="00BB5FD3">
            <w:pPr>
              <w:spacing w:after="0" w:line="240" w:lineRule="auto"/>
              <w:jc w:val="center"/>
              <w:rPr>
                <w:rFonts w:cs="Times New Roman"/>
                <w:sz w:val="26"/>
                <w:szCs w:val="28"/>
              </w:rPr>
            </w:pPr>
            <w:r w:rsidRPr="00BB5FD3">
              <w:rPr>
                <w:rFonts w:cs="Times New Roman"/>
                <w:sz w:val="26"/>
                <w:szCs w:val="28"/>
              </w:rPr>
              <w:t>ỦY BAN NHÂN DÂN</w:t>
            </w:r>
          </w:p>
          <w:p w14:paraId="2B47B434" w14:textId="77777777" w:rsidR="00BB5FD3" w:rsidRPr="00BB5FD3" w:rsidRDefault="00BB5FD3" w:rsidP="00BB5FD3">
            <w:pPr>
              <w:spacing w:after="0" w:line="240" w:lineRule="auto"/>
              <w:jc w:val="center"/>
              <w:rPr>
                <w:rFonts w:cs="Times New Roman"/>
                <w:szCs w:val="28"/>
              </w:rPr>
            </w:pPr>
            <w:r w:rsidRPr="00BB5FD3">
              <w:rPr>
                <w:rFonts w:cs="Times New Roman"/>
                <w:sz w:val="26"/>
                <w:szCs w:val="28"/>
              </w:rPr>
              <w:t>THÀNH PHỐ HỒ CHÍ MINH</w:t>
            </w:r>
          </w:p>
          <w:p w14:paraId="78D90B59" w14:textId="77777777" w:rsidR="00BB5FD3" w:rsidRPr="00BB5FD3" w:rsidRDefault="00BB5FD3" w:rsidP="00BB5FD3">
            <w:pPr>
              <w:keepNext/>
              <w:autoSpaceDE w:val="0"/>
              <w:autoSpaceDN w:val="0"/>
              <w:spacing w:after="0" w:line="240" w:lineRule="auto"/>
              <w:ind w:right="47"/>
              <w:jc w:val="center"/>
              <w:outlineLvl w:val="0"/>
              <w:rPr>
                <w:rFonts w:cs="Times New Roman"/>
                <w:b/>
                <w:bCs/>
                <w:szCs w:val="26"/>
              </w:rPr>
            </w:pPr>
            <w:r w:rsidRPr="00BB5FD3">
              <w:rPr>
                <w:rFonts w:cs="Times New Roman"/>
                <w:b/>
                <w:bCs/>
                <w:sz w:val="26"/>
                <w:szCs w:val="26"/>
              </w:rPr>
              <w:t>SỞ KHOA HỌC VÀ CÔNG NGHỆ</w:t>
            </w:r>
          </w:p>
          <w:p w14:paraId="39955B14" w14:textId="77777777" w:rsidR="00BB5FD3" w:rsidRPr="00BB5FD3" w:rsidRDefault="00BB5FD3" w:rsidP="00BB5FD3">
            <w:pPr>
              <w:spacing w:after="0" w:line="240" w:lineRule="auto"/>
              <w:rPr>
                <w:rFonts w:cs="Times New Roman"/>
                <w:sz w:val="14"/>
                <w:szCs w:val="28"/>
              </w:rPr>
            </w:pPr>
            <w:r w:rsidRPr="00BB5FD3">
              <w:rPr>
                <w:rFonts w:cs="Times New Roman"/>
                <w:noProof/>
                <w:szCs w:val="28"/>
              </w:rPr>
              <mc:AlternateContent>
                <mc:Choice Requires="wps">
                  <w:drawing>
                    <wp:anchor distT="4294967294" distB="4294967294" distL="114300" distR="114300" simplePos="0" relativeHeight="251662336" behindDoc="0" locked="0" layoutInCell="1" allowOverlap="1" wp14:anchorId="45D78CB9" wp14:editId="793E7616">
                      <wp:simplePos x="0" y="0"/>
                      <wp:positionH relativeFrom="column">
                        <wp:posOffset>864870</wp:posOffset>
                      </wp:positionH>
                      <wp:positionV relativeFrom="paragraph">
                        <wp:posOffset>17780</wp:posOffset>
                      </wp:positionV>
                      <wp:extent cx="720000" cy="0"/>
                      <wp:effectExtent l="0" t="0" r="0" b="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007A424" id="_x0000_t32" coordsize="21600,21600" o:spt="32" o:oned="t" path="m,l21600,21600e" filled="f">
                      <v:path arrowok="t" fillok="f" o:connecttype="none"/>
                      <o:lock v:ext="edit" shapetype="t"/>
                    </v:shapetype>
                    <v:shape id="Straight Arrow Connector 9" o:spid="_x0000_s1026" type="#_x0000_t32" style="position:absolute;margin-left:68.1pt;margin-top:1.4pt;width:56.7pt;height:0;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"/>
                  </w:pict>
                </mc:Fallback>
              </mc:AlternateContent>
            </w:r>
          </w:p>
          <w:p w14:paraId="31D3F0F3" w14:textId="77777777" w:rsidR="00BB5FD3" w:rsidRPr="00BB5FD3" w:rsidRDefault="00BB5FD3" w:rsidP="00BB5FD3">
            <w:pPr>
              <w:spacing w:after="0" w:line="240" w:lineRule="auto"/>
              <w:jc w:val="center"/>
              <w:rPr>
                <w:rFonts w:cs="Times New Roman"/>
                <w:szCs w:val="28"/>
              </w:rPr>
            </w:pPr>
            <w:r w:rsidRPr="00BB5FD3">
              <w:rPr>
                <w:rFonts w:cs="Times New Roman"/>
                <w:noProof/>
                <w:szCs w:val="28"/>
              </w:rPr>
              <w:t>Số:           /BC-SKHCN</w:t>
            </w:r>
          </w:p>
        </w:tc>
        <w:tc>
          <w:tcPr>
            <w:tcW w:w="5811" w:type="dxa"/>
          </w:tcPr>
          <w:p w14:paraId="2ACF5639" w14:textId="77777777" w:rsidR="00BB5FD3" w:rsidRPr="00BB5FD3" w:rsidRDefault="00BB5FD3" w:rsidP="00BB5FD3">
            <w:pPr>
              <w:spacing w:after="0" w:line="240" w:lineRule="auto"/>
              <w:jc w:val="center"/>
              <w:rPr>
                <w:rFonts w:cs="Times New Roman"/>
                <w:b/>
                <w:bCs/>
                <w:sz w:val="26"/>
                <w:szCs w:val="26"/>
              </w:rPr>
            </w:pPr>
            <w:r w:rsidRPr="00BB5FD3">
              <w:rPr>
                <w:rFonts w:cs="Times New Roman"/>
                <w:b/>
                <w:bCs/>
                <w:noProof/>
                <w:sz w:val="26"/>
                <w:szCs w:val="26"/>
              </w:rPr>
              <w:t>CỘNG HÒA XÃ HỘI CHỦ NGHĨA VIỆT NAM</w:t>
            </w:r>
          </w:p>
          <w:p w14:paraId="6F2B882B" w14:textId="77777777" w:rsidR="00BB5FD3" w:rsidRPr="00BB5FD3" w:rsidRDefault="00BB5FD3" w:rsidP="00BB5FD3">
            <w:pPr>
              <w:spacing w:after="0" w:line="240" w:lineRule="auto"/>
              <w:jc w:val="center"/>
              <w:rPr>
                <w:rFonts w:cs="Times New Roman"/>
                <w:b/>
                <w:bCs/>
                <w:szCs w:val="26"/>
              </w:rPr>
            </w:pPr>
            <w:r w:rsidRPr="00BB5FD3">
              <w:rPr>
                <w:rFonts w:cs="Times New Roman"/>
                <w:b/>
                <w:bCs/>
                <w:szCs w:val="26"/>
              </w:rPr>
              <w:t>Độc lập - Tự do - Hạnh phúc</w:t>
            </w:r>
          </w:p>
          <w:p w14:paraId="7413D40D" w14:textId="77777777" w:rsidR="00BB5FD3" w:rsidRPr="00BB5FD3" w:rsidRDefault="00BB5FD3" w:rsidP="00BB5FD3">
            <w:pPr>
              <w:tabs>
                <w:tab w:val="center" w:pos="2749"/>
                <w:tab w:val="right" w:pos="5499"/>
              </w:tabs>
              <w:spacing w:after="0" w:line="240" w:lineRule="auto"/>
              <w:jc w:val="center"/>
              <w:rPr>
                <w:rFonts w:cs="Times New Roman"/>
                <w:b/>
                <w:bCs/>
                <w:sz w:val="14"/>
                <w:szCs w:val="26"/>
              </w:rPr>
            </w:pPr>
            <w:r w:rsidRPr="00BB5FD3">
              <w:rPr>
                <w:rFonts w:cs="Times New Roman"/>
                <w:noProof/>
                <w:szCs w:val="28"/>
              </w:rPr>
              <mc:AlternateContent>
                <mc:Choice Requires="wps">
                  <w:drawing>
                    <wp:anchor distT="4294967295" distB="4294967295" distL="114300" distR="114300" simplePos="0" relativeHeight="251661312" behindDoc="0" locked="0" layoutInCell="1" allowOverlap="1" wp14:anchorId="6C4524DF" wp14:editId="33A47B05">
                      <wp:simplePos x="0" y="0"/>
                      <wp:positionH relativeFrom="column">
                        <wp:posOffset>737870</wp:posOffset>
                      </wp:positionH>
                      <wp:positionV relativeFrom="paragraph">
                        <wp:posOffset>36830</wp:posOffset>
                      </wp:positionV>
                      <wp:extent cx="2105660" cy="0"/>
                      <wp:effectExtent l="13970" t="8255" r="13970" b="1079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56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F68150" id="Straight Arrow Connector 1" o:spid="_x0000_s1026" type="#_x0000_t32" style="position:absolute;margin-left:58.1pt;margin-top:2.9pt;width:165.8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3E5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"/>
                  </w:pict>
                </mc:Fallback>
              </mc:AlternateContent>
            </w:r>
          </w:p>
          <w:p w14:paraId="37BAEF6F" w14:textId="77777777" w:rsidR="00BB5FD3" w:rsidRPr="00BB5FD3" w:rsidRDefault="00BB5FD3" w:rsidP="00BB5FD3">
            <w:pPr>
              <w:spacing w:after="0" w:line="240" w:lineRule="auto"/>
              <w:jc w:val="center"/>
              <w:rPr>
                <w:rFonts w:cs="Times New Roman"/>
                <w:b/>
                <w:bCs/>
                <w:sz w:val="14"/>
                <w:szCs w:val="26"/>
              </w:rPr>
            </w:pPr>
          </w:p>
          <w:p w14:paraId="198040C8" w14:textId="77777777" w:rsidR="00BB5FD3" w:rsidRPr="00BB5FD3" w:rsidRDefault="00BB5FD3" w:rsidP="00BB5FD3">
            <w:pPr>
              <w:spacing w:before="120" w:after="0" w:line="240" w:lineRule="auto"/>
              <w:jc w:val="center"/>
              <w:rPr>
                <w:rFonts w:cs="Times New Roman"/>
                <w:i/>
                <w:iCs/>
                <w:szCs w:val="28"/>
                <w:lang w:val="vi-VN"/>
              </w:rPr>
            </w:pPr>
            <w:r w:rsidRPr="00BB5FD3">
              <w:rPr>
                <w:rFonts w:cs="Times New Roman"/>
                <w:i/>
                <w:iCs/>
                <w:sz w:val="26"/>
                <w:szCs w:val="26"/>
              </w:rPr>
              <w:t>Thành phố Hồ Chí Minh, ngày</w:t>
            </w:r>
            <w:r w:rsidRPr="00BB5FD3">
              <w:rPr>
                <w:rFonts w:cs="Times New Roman"/>
                <w:i/>
                <w:iCs/>
                <w:sz w:val="26"/>
                <w:szCs w:val="26"/>
                <w:lang w:val="vi-VN"/>
              </w:rPr>
              <w:t xml:space="preserve">      </w:t>
            </w:r>
            <w:r w:rsidRPr="00BB5FD3">
              <w:rPr>
                <w:rFonts w:cs="Times New Roman"/>
                <w:i/>
                <w:iCs/>
                <w:sz w:val="26"/>
                <w:szCs w:val="26"/>
              </w:rPr>
              <w:t>tháng     năm 202</w:t>
            </w:r>
            <w:r w:rsidRPr="00BB5FD3">
              <w:rPr>
                <w:rFonts w:cs="Times New Roman"/>
                <w:i/>
                <w:iCs/>
                <w:sz w:val="26"/>
                <w:szCs w:val="26"/>
                <w:lang w:val="vi-VN"/>
              </w:rPr>
              <w:t>6</w:t>
            </w:r>
          </w:p>
        </w:tc>
      </w:tr>
    </w:tbl>
    <w:p w14:paraId="438B4BD8" w14:textId="77777777" w:rsidR="001C2316" w:rsidRDefault="00BB5FD3">
      <w:pPr>
        <w:spacing w:before="160" w:after="40" w:line="240" w:lineRule="auto"/>
        <w:jc w:val="center"/>
      </w:pPr>
      <w:r>
        <w:rPr>
          <w:b/>
          <w:bCs/>
          <w:noProof/>
        </w:rPr>
        <mc:AlternateContent>
          <mc:Choice Requires="wps">
            <w:drawing>
              <wp:anchor distT="0" distB="0" distL="114300" distR="114300" simplePos="0" relativeHeight="251659264" behindDoc="0" locked="0" layoutInCell="1" allowOverlap="1" wp14:anchorId="481039F8" wp14:editId="318CC00D">
                <wp:simplePos x="0" y="0"/>
                <wp:positionH relativeFrom="column">
                  <wp:posOffset>0</wp:posOffset>
                </wp:positionH>
                <wp:positionV relativeFrom="paragraph">
                  <wp:posOffset>-635</wp:posOffset>
                </wp:positionV>
                <wp:extent cx="1121410" cy="276225"/>
                <wp:effectExtent l="0" t="0" r="21590" b="28575"/>
                <wp:wrapNone/>
                <wp:docPr id="169365114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1410" cy="276225"/>
                        </a:xfrm>
                        <a:prstGeom prst="rect">
                          <a:avLst/>
                        </a:prstGeom>
                        <a:solidFill>
                          <a:sysClr val="window" lastClr="FFFFFF"/>
                        </a:solidFill>
                        <a:ln w="6350">
                          <a:solidFill>
                            <a:sysClr val="windowText" lastClr="000000"/>
                          </a:solidFill>
                        </a:ln>
                        <a:effectLst/>
                      </wps:spPr>
                      <wps:txbx>
                        <w:txbxContent>
                          <w:p w14:paraId="65AD52BA" w14:textId="77777777" w:rsidR="00BB5FD3" w:rsidRDefault="00BB5FD3" w:rsidP="00BB5FD3">
                            <w:pPr>
                              <w:jc w:val="center"/>
                              <w:rPr>
                                <w:b/>
                              </w:rPr>
                            </w:pPr>
                            <w:r>
                              <w:rPr>
                                <w:b/>
                              </w:rPr>
                              <w:t>DỰ THẢO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481039F8" id="_x0000_t202" coordsize="21600,21600" o:spt="202" path="m,l,21600r21600,l21600,xe">
                <v:stroke joinstyle="miter"/>
                <v:path gradientshapeok="t" o:connecttype="rect"/>
              </v:shapetype>
              <v:shape id="Text Box 4" o:spid="_x0000_s1026" type="#_x0000_t202" style="position:absolute;left:0;text-align:left;margin-left:0;margin-top:-.05pt;width:88.3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" fillcolor="window" strokecolor="windowText" strokeweight=".5pt">
                <v:path arrowok="t"/>
                <v:textbox>
                  <w:txbxContent>
                    <w:p w14:paraId="65AD52BA" w14:textId="77777777" w:rsidR="00BB5FD3" w:rsidRDefault="00BB5FD3" w:rsidP="00BB5FD3">
                      <w:pPr>
                        <w:jc w:val="center"/>
                        <w:rPr>
                          <w:b/>
                        </w:rPr>
                      </w:pPr>
                      <w:r>
                        <w:rPr>
                          <w:b/>
                        </w:rPr>
                        <w:t>DỰ THẢO</w:t>
                      </w:r>
                    </w:p>
                  </w:txbxContent>
                </v:textbox>
              </v:shape>
            </w:pict>
          </mc:Fallback>
        </mc:AlternateContent>
      </w:r>
      <w:r>
        <w:rPr>
          <w:rFonts w:cs="Times New Roman"/>
          <w:b/>
        </w:rPr>
        <w:t>BÁO CÁO</w:t>
      </w:r>
    </w:p>
    <w:p w14:paraId="51E9707D" w14:textId="77777777" w:rsidR="001C2316" w:rsidRDefault="00000000">
      <w:pPr>
        <w:spacing w:after="40" w:line="240" w:lineRule="auto"/>
        <w:jc w:val="center"/>
      </w:pPr>
      <w:r>
        <w:rPr>
          <w:rFonts w:cs="Times New Roman"/>
          <w:b/>
        </w:rPr>
        <w:t>Đánh giá tác động của chính sách trong dự thảo Quyết định quy định khoán chi trong thực hiện nhiệm vụ, dự án, đề án khoa học, công nghệ và đổi mới sáng tạo có sử dụng ngân sách Thành phố</w:t>
      </w:r>
    </w:p>
    <w:p w14:paraId="038D4F25" w14:textId="77777777" w:rsidR="001C2316" w:rsidRDefault="001C2316">
      <w:pPr>
        <w:pBdr>
          <w:bottom w:val="single" w:sz="2" w:space="1" w:color="000000"/>
        </w:pBdr>
        <w:spacing w:after="160" w:line="240" w:lineRule="auto"/>
        <w:ind w:left="3685" w:right="3685"/>
        <w:jc w:val="center"/>
        <w:rPr>
          <w:rFonts w:cs="Times New Roman"/>
          <w:sz w:val="4"/>
          <w:szCs w:val="4"/>
        </w:rPr>
      </w:pPr>
    </w:p>
    <w:p w14:paraId="5F21E8D9" w14:textId="77777777" w:rsidR="001C2316" w:rsidRDefault="00000000">
      <w:pPr>
        <w:spacing w:before="160" w:after="120" w:line="240" w:lineRule="auto"/>
        <w:jc w:val="center"/>
      </w:pPr>
      <w:r>
        <w:rPr>
          <w:rFonts w:cs="Times New Roman"/>
        </w:rPr>
        <w:t>Kính gửi: Ủy ban nhân dân Thành phố.</w:t>
      </w:r>
    </w:p>
    <w:p w14:paraId="32EEC5B1" w14:textId="77777777" w:rsidR="001C2316" w:rsidRDefault="00000000">
      <w:pPr>
        <w:adjustRightInd w:val="0"/>
        <w:snapToGrid w:val="0"/>
        <w:spacing w:after="120" w:line="288" w:lineRule="auto"/>
        <w:ind w:firstLine="567"/>
        <w:jc w:val="both"/>
      </w:pPr>
      <w:r>
        <w:rPr>
          <w:rFonts w:cs="Times New Roman"/>
        </w:rPr>
        <w:t>Căn cứ Luật Tổ chức chính quyền địa phương số 72/2025/QH15; Luật Ban hành văn bản quy phạm pháp luật số 64/2025/QH15 (được sửa đổi, bổ sung bởi Luật số 87/2025/QH15);</w:t>
      </w:r>
    </w:p>
    <w:p w14:paraId="0D22F09E" w14:textId="77777777" w:rsidR="001C2316" w:rsidRDefault="00000000">
      <w:pPr>
        <w:adjustRightInd w:val="0"/>
        <w:snapToGrid w:val="0"/>
        <w:spacing w:after="120" w:line="288" w:lineRule="auto"/>
        <w:ind w:firstLine="567"/>
        <w:jc w:val="both"/>
      </w:pPr>
      <w:r>
        <w:rPr>
          <w:rFonts w:cs="Times New Roman"/>
        </w:rPr>
        <w:t>Căn cứ Nghị định số 78/2025/NĐ-CP ngày 01 tháng 4 năm 2025 của Chính phủ (được sửa đổi, bổ sung bởi Nghị định số 187/2025/NĐ-CP ngày 01 tháng 7 năm 2025);</w:t>
      </w:r>
    </w:p>
    <w:p w14:paraId="1075A4A9" w14:textId="77777777" w:rsidR="001C2316" w:rsidRDefault="00000000">
      <w:pPr>
        <w:adjustRightInd w:val="0"/>
        <w:snapToGrid w:val="0"/>
        <w:spacing w:after="120" w:line="288" w:lineRule="auto"/>
        <w:ind w:firstLine="567"/>
        <w:jc w:val="both"/>
      </w:pPr>
      <w:r>
        <w:rPr>
          <w:rFonts w:cs="Times New Roman"/>
        </w:rPr>
        <w:t>Căn cứ Luật Khoa học, công nghệ và đổi mới sáng tạo số 93/2025/QH15; Luật Ngân sách nhà nước số 89/2025/QH15;</w:t>
      </w:r>
    </w:p>
    <w:p w14:paraId="0C3A90E9" w14:textId="77777777" w:rsidR="001C2316" w:rsidRDefault="00000000">
      <w:pPr>
        <w:adjustRightInd w:val="0"/>
        <w:snapToGrid w:val="0"/>
        <w:spacing w:after="120" w:line="288" w:lineRule="auto"/>
        <w:ind w:firstLine="567"/>
        <w:jc w:val="both"/>
      </w:pPr>
      <w:r>
        <w:rPr>
          <w:rFonts w:cs="Times New Roman"/>
        </w:rPr>
        <w:t>Căn cứ Luật Phát triển đô thị số 18/2026/QH16 ngày 24 tháng 8 năm 2026;</w:t>
      </w:r>
    </w:p>
    <w:p w14:paraId="3DD5DFE2" w14:textId="77777777" w:rsidR="001C2316" w:rsidRDefault="00000000">
      <w:pPr>
        <w:adjustRightInd w:val="0"/>
        <w:snapToGrid w:val="0"/>
        <w:spacing w:after="120" w:line="288" w:lineRule="auto"/>
        <w:ind w:firstLine="567"/>
        <w:jc w:val="both"/>
      </w:pPr>
      <w:r>
        <w:rPr>
          <w:rFonts w:cs="Times New Roman"/>
        </w:rPr>
        <w:t>Căn cứ Nghị định số 265/2025/NĐ-CP của Chính phủ; Nghị quyết số 24/2026/NQ-HĐND ngày 19 tháng 6 năm 2026 và Nghị quyết số 39/2026/NQ-HĐND ngày 27 tháng 8 năm 2026 của Hội đồng nhân dân Thành phố;</w:t>
      </w:r>
    </w:p>
    <w:p w14:paraId="50FAC581" w14:textId="77777777" w:rsidR="001C2316" w:rsidRDefault="00000000">
      <w:pPr>
        <w:adjustRightInd w:val="0"/>
        <w:snapToGrid w:val="0"/>
        <w:spacing w:after="120" w:line="288" w:lineRule="auto"/>
        <w:ind w:firstLine="567"/>
        <w:jc w:val="both"/>
      </w:pPr>
      <w:r>
        <w:rPr>
          <w:rFonts w:cs="Times New Roman"/>
        </w:rPr>
        <w:t>Sở Khoa học và Công nghệ báo cáo đánh giá tác động của chính sách như sau:</w:t>
      </w:r>
    </w:p>
    <w:p w14:paraId="3F77CEFD" w14:textId="77777777" w:rsidR="001C2316" w:rsidRDefault="00000000">
      <w:pPr>
        <w:spacing w:before="120" w:after="120" w:line="288" w:lineRule="auto"/>
        <w:ind w:firstLine="567"/>
      </w:pPr>
      <w:r>
        <w:rPr>
          <w:rFonts w:cs="Times New Roman"/>
          <w:b/>
        </w:rPr>
        <w:t>I. XÁC ĐỊNH VẤN ĐỀ</w:t>
      </w:r>
    </w:p>
    <w:p w14:paraId="724C93AD" w14:textId="77777777" w:rsidR="001C2316" w:rsidRDefault="00000000">
      <w:pPr>
        <w:adjustRightInd w:val="0"/>
        <w:snapToGrid w:val="0"/>
        <w:spacing w:after="120" w:line="288" w:lineRule="auto"/>
        <w:ind w:firstLine="567"/>
        <w:jc w:val="both"/>
      </w:pPr>
      <w:r>
        <w:rPr>
          <w:rFonts w:cs="Times New Roman"/>
          <w:b/>
        </w:rPr>
        <w:t>1. Bối cảnh xây dựng chính sách</w:t>
      </w:r>
    </w:p>
    <w:p w14:paraId="7ECA56E5" w14:textId="77777777" w:rsidR="001C2316" w:rsidRDefault="00000000">
      <w:pPr>
        <w:adjustRightInd w:val="0"/>
        <w:snapToGrid w:val="0"/>
        <w:spacing w:after="120" w:line="288" w:lineRule="auto"/>
        <w:ind w:firstLine="567"/>
        <w:jc w:val="both"/>
      </w:pPr>
      <w:r>
        <w:rPr>
          <w:rFonts w:cs="Times New Roman"/>
        </w:rPr>
        <w:t>1.1. Bối cảnh quốc tế, khu vực: Xu hướng quản lý tài chính cho nghiên cứu khoa học tại nhiều quốc gia và tổ chức tài trợ lớn đang chuyển mạnh từ kiểm soát đầu vào theo chứng từ sang tài trợ theo gói (lump sum funding) gắn với kết quả đầu ra, trong đó cơ quan tài trợ đánh giá việc hoàn thành công việc và sản phẩm thay vì thẩm tra từng hóa đơn chi tiết. Mô hình này giúp giảm mạnh chi phí tuân thủ hành chính, rút ngắn thời gian giải ngân và cho phép chấp nhận rủi ro hợp lý trong nghiên cứu. Đây là kinh nghiệm có giá trị tham khảo cho Thành phố Hồ Chí Minh khi xây dựng cơ chế khoán chi.</w:t>
      </w:r>
    </w:p>
    <w:p w14:paraId="3374838E" w14:textId="77777777" w:rsidR="001C2316" w:rsidRDefault="00000000">
      <w:pPr>
        <w:adjustRightInd w:val="0"/>
        <w:snapToGrid w:val="0"/>
        <w:spacing w:after="120" w:line="288" w:lineRule="auto"/>
        <w:ind w:firstLine="567"/>
        <w:jc w:val="both"/>
      </w:pPr>
      <w:r>
        <w:rPr>
          <w:rFonts w:cs="Times New Roman"/>
          <w:b/>
        </w:rPr>
        <w:lastRenderedPageBreak/>
        <w:t>1.2. Bối cảnh trong nước</w:t>
      </w:r>
    </w:p>
    <w:p w14:paraId="17E7BBE0" w14:textId="77777777" w:rsidR="001C2316" w:rsidRDefault="00000000">
      <w:pPr>
        <w:adjustRightInd w:val="0"/>
        <w:snapToGrid w:val="0"/>
        <w:spacing w:after="120" w:line="288" w:lineRule="auto"/>
        <w:ind w:firstLine="567"/>
        <w:jc w:val="both"/>
      </w:pPr>
      <w:r>
        <w:rPr>
          <w:rFonts w:cs="Times New Roman"/>
        </w:rPr>
        <w:t>a) Chủ trương của Đảng và pháp luật hiện hành: Nghị quyết số 57-NQ/TW ngày 22 tháng 12 năm 2024 của Bộ Chính trị xác định khoa học, công nghệ, đổi mới sáng tạo và chuyển đổi số là đột phá quan trọng hàng đầu, yêu cầu đổi mới mạnh mẽ cơ chế tài chính, chấp nhận rủi ro và độ trễ trong nghiên cứu khoa học. Luật Khoa học, công nghệ và đổi mới sáng tạo số 93/2025/QH15 và Nghị định số 265/2025/NĐ-CP đã luật hóa nguyên tắc khoán chi và miễn trừ trách nhiệm hoàn trả trong trường hợp nghiên cứu không đạt kết quả nhưng đã tuân thủ đúng quy trình. Ngày 24 tháng 8 năm 2026, Luật Phát triển đô thị số 18/2026/QH16 được Quốc hội thông qua, tại điểm a khoản 3 Điều 30 giao Ủy ban nhân dân Thành phố quy định về khoán chi trong thực hiện nhiệm vụ, dự án, đề án khoa học, công nghệ và đổi mới sáng tạo có sử dụng ngân sách Thành phố. Đây là nhiệm vụ lập quy bắt buộc, Thành phố phải ban hành văn bản để bảo đảm hiệu lực thi hành đồng bộ của Luật.</w:t>
      </w:r>
    </w:p>
    <w:p w14:paraId="301F3952" w14:textId="77777777" w:rsidR="001C2316" w:rsidRDefault="00000000">
      <w:pPr>
        <w:adjustRightInd w:val="0"/>
        <w:snapToGrid w:val="0"/>
        <w:spacing w:after="120" w:line="288" w:lineRule="auto"/>
        <w:ind w:firstLine="567"/>
        <w:jc w:val="both"/>
      </w:pPr>
      <w:r>
        <w:rPr>
          <w:rFonts w:cs="Times New Roman"/>
        </w:rPr>
        <w:t>b) Thực trạng quản lý kinh phí nhiệm vụ khoa học, công nghệ trên địa bàn Thành phố: Qua theo dõi công tác quản lý nhiệm vụ khoa học và công nghệ sử dụng ngân sách Thành phố thời gian qua, nổi lên một số bất cập, thể hiện tại Bảng 1.</w:t>
      </w:r>
    </w:p>
    <w:p w14:paraId="38E6DA6D" w14:textId="77777777" w:rsidR="002F2A22" w:rsidRDefault="00000000">
      <w:pPr>
        <w:jc w:val="center"/>
      </w:pPr>
      <w:r>
        <w:rPr>
          <w:b/>
        </w:rPr>
        <w:t>Bảng 1. Một số bất cập trong quản lý kinh phí nhiệm vụ khoa học, công nghệ</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0"/>
        <w:gridCol w:w="5000"/>
        <w:gridCol w:w="3272"/>
      </w:tblGrid>
      <w:tr w:rsidR="001C2316" w14:paraId="11A82200" w14:textId="77777777">
        <w:tc>
          <w:tcPr>
            <w:tcW w:w="800" w:type="dxa"/>
          </w:tcPr>
          <w:p w14:paraId="0B56670F" w14:textId="77777777" w:rsidR="001C2316" w:rsidRDefault="00000000">
            <w:pPr>
              <w:spacing w:after="0" w:line="240" w:lineRule="auto"/>
              <w:jc w:val="center"/>
            </w:pPr>
            <w:r>
              <w:rPr>
                <w:rFonts w:cs="Times New Roman"/>
                <w:b/>
              </w:rPr>
              <w:t>TT</w:t>
            </w:r>
          </w:p>
        </w:tc>
        <w:tc>
          <w:tcPr>
            <w:tcW w:w="5000" w:type="dxa"/>
          </w:tcPr>
          <w:p w14:paraId="0CBC6DAA" w14:textId="77777777" w:rsidR="001C2316" w:rsidRDefault="00000000" w:rsidP="008F1452">
            <w:pPr>
              <w:spacing w:after="0" w:line="240" w:lineRule="auto"/>
              <w:jc w:val="both"/>
            </w:pPr>
            <w:r>
              <w:rPr>
                <w:rFonts w:cs="Times New Roman"/>
                <w:b/>
              </w:rPr>
              <w:t>Bất cập</w:t>
            </w:r>
          </w:p>
        </w:tc>
        <w:tc>
          <w:tcPr>
            <w:tcW w:w="3272" w:type="dxa"/>
          </w:tcPr>
          <w:p w14:paraId="33C7C39D" w14:textId="77777777" w:rsidR="001C2316" w:rsidRDefault="00000000" w:rsidP="008F1452">
            <w:pPr>
              <w:spacing w:after="0" w:line="240" w:lineRule="auto"/>
              <w:jc w:val="both"/>
            </w:pPr>
            <w:r>
              <w:rPr>
                <w:rFonts w:cs="Times New Roman"/>
                <w:b/>
              </w:rPr>
              <w:t>Hệ quả</w:t>
            </w:r>
          </w:p>
        </w:tc>
      </w:tr>
      <w:tr w:rsidR="001C2316" w14:paraId="15B244B3" w14:textId="77777777">
        <w:tc>
          <w:tcPr>
            <w:tcW w:w="800" w:type="dxa"/>
          </w:tcPr>
          <w:p w14:paraId="7A2D03CF" w14:textId="77777777" w:rsidR="001C2316" w:rsidRDefault="00000000">
            <w:pPr>
              <w:spacing w:after="0" w:line="240" w:lineRule="auto"/>
              <w:jc w:val="center"/>
            </w:pPr>
            <w:r>
              <w:rPr>
                <w:rFonts w:cs="Times New Roman"/>
              </w:rPr>
              <w:t>1</w:t>
            </w:r>
          </w:p>
        </w:tc>
        <w:tc>
          <w:tcPr>
            <w:tcW w:w="5000" w:type="dxa"/>
          </w:tcPr>
          <w:p w14:paraId="2BF803AD" w14:textId="77777777" w:rsidR="001C2316" w:rsidRDefault="00000000" w:rsidP="008F1452">
            <w:pPr>
              <w:spacing w:after="0" w:line="240" w:lineRule="auto"/>
              <w:jc w:val="both"/>
            </w:pPr>
            <w:r>
              <w:rPr>
                <w:rFonts w:cs="Times New Roman"/>
              </w:rPr>
              <w:t>Cơ chế kiểm soát chi vẫn thiên về tiền kiểm chứng từ đầu vào; tổ chức chủ trì phải tập hợp, giải trình từng hóa đơn cho các khoản chi mang tính chất thù lao chất xám</w:t>
            </w:r>
          </w:p>
        </w:tc>
        <w:tc>
          <w:tcPr>
            <w:tcW w:w="3272" w:type="dxa"/>
          </w:tcPr>
          <w:p w14:paraId="64B1D7D7" w14:textId="77777777" w:rsidR="001C2316" w:rsidRDefault="00000000" w:rsidP="008F1452">
            <w:pPr>
              <w:spacing w:after="0" w:line="240" w:lineRule="auto"/>
              <w:jc w:val="both"/>
            </w:pPr>
            <w:r>
              <w:rPr>
                <w:rFonts w:cs="Times New Roman"/>
              </w:rPr>
              <w:t>Kéo dài thời gian thanh quyết toán; phát sinh hành vi hợp thức hóa chứng từ mang tính hình thức, không phản ánh đúng bản chất lao động khoa học.</w:t>
            </w:r>
          </w:p>
        </w:tc>
      </w:tr>
      <w:tr w:rsidR="001C2316" w14:paraId="0350CDFC" w14:textId="77777777">
        <w:tc>
          <w:tcPr>
            <w:tcW w:w="800" w:type="dxa"/>
          </w:tcPr>
          <w:p w14:paraId="73024896" w14:textId="77777777" w:rsidR="001C2316" w:rsidRDefault="00000000">
            <w:pPr>
              <w:spacing w:after="0" w:line="240" w:lineRule="auto"/>
              <w:jc w:val="center"/>
            </w:pPr>
            <w:r>
              <w:rPr>
                <w:rFonts w:cs="Times New Roman"/>
              </w:rPr>
              <w:t>2</w:t>
            </w:r>
          </w:p>
        </w:tc>
        <w:tc>
          <w:tcPr>
            <w:tcW w:w="5000" w:type="dxa"/>
          </w:tcPr>
          <w:p w14:paraId="39A7A039" w14:textId="77777777" w:rsidR="001C2316" w:rsidRDefault="00000000" w:rsidP="008F1452">
            <w:pPr>
              <w:spacing w:after="0" w:line="240" w:lineRule="auto"/>
              <w:jc w:val="both"/>
            </w:pPr>
            <w:r>
              <w:rPr>
                <w:rFonts w:cs="Times New Roman"/>
              </w:rPr>
              <w:t>Chưa có văn bản của Thành phố hướng dẫn thống nhất về điều kiện, phương thức khoán chi, hồ sơ tạm ứng, thanh toán, quyết toán</w:t>
            </w:r>
          </w:p>
        </w:tc>
        <w:tc>
          <w:tcPr>
            <w:tcW w:w="3272" w:type="dxa"/>
          </w:tcPr>
          <w:p w14:paraId="6EBA7CC0" w14:textId="77777777" w:rsidR="001C2316" w:rsidRDefault="00000000" w:rsidP="008F1452">
            <w:pPr>
              <w:spacing w:after="0" w:line="240" w:lineRule="auto"/>
              <w:jc w:val="both"/>
            </w:pPr>
            <w:r>
              <w:rPr>
                <w:rFonts w:cs="Times New Roman"/>
              </w:rPr>
              <w:t>Mỗi cơ quan quản lý nhiệm vụ, mỗi tổ chức chủ trì áp dụng khác nhau; phát sinh vướng mắc trong kiểm soát chi.</w:t>
            </w:r>
          </w:p>
        </w:tc>
      </w:tr>
      <w:tr w:rsidR="001C2316" w14:paraId="1D07650D" w14:textId="77777777">
        <w:tc>
          <w:tcPr>
            <w:tcW w:w="800" w:type="dxa"/>
          </w:tcPr>
          <w:p w14:paraId="4DFAF651" w14:textId="77777777" w:rsidR="001C2316" w:rsidRDefault="00000000">
            <w:pPr>
              <w:spacing w:after="0" w:line="240" w:lineRule="auto"/>
              <w:jc w:val="center"/>
            </w:pPr>
            <w:r>
              <w:rPr>
                <w:rFonts w:cs="Times New Roman"/>
              </w:rPr>
              <w:t>3</w:t>
            </w:r>
          </w:p>
        </w:tc>
        <w:tc>
          <w:tcPr>
            <w:tcW w:w="5000" w:type="dxa"/>
          </w:tcPr>
          <w:p w14:paraId="2FC85CFE" w14:textId="77777777" w:rsidR="001C2316" w:rsidRDefault="00000000" w:rsidP="008F1452">
            <w:pPr>
              <w:spacing w:after="0" w:line="240" w:lineRule="auto"/>
              <w:jc w:val="both"/>
            </w:pPr>
            <w:r>
              <w:rPr>
                <w:rFonts w:cs="Times New Roman"/>
              </w:rPr>
              <w:t>Chưa có hướng dẫn cụ thể việc áp dụng hệ số k theo định mức tại Nghị quyết số 24/2026/NQ-HĐND</w:t>
            </w:r>
          </w:p>
        </w:tc>
        <w:tc>
          <w:tcPr>
            <w:tcW w:w="3272" w:type="dxa"/>
          </w:tcPr>
          <w:p w14:paraId="34A44568" w14:textId="77777777" w:rsidR="001C2316" w:rsidRDefault="00000000" w:rsidP="008F1452">
            <w:pPr>
              <w:spacing w:after="0" w:line="240" w:lineRule="auto"/>
              <w:jc w:val="both"/>
            </w:pPr>
            <w:r>
              <w:rPr>
                <w:rFonts w:cs="Times New Roman"/>
              </w:rPr>
              <w:t>Khó khăn khi lập, thẩm định dự toán; thiếu căn cứ gắn mức chi với chất lượng sản phẩm đầu ra.</w:t>
            </w:r>
          </w:p>
        </w:tc>
      </w:tr>
      <w:tr w:rsidR="001C2316" w14:paraId="1C5EB1B8" w14:textId="77777777">
        <w:tc>
          <w:tcPr>
            <w:tcW w:w="800" w:type="dxa"/>
          </w:tcPr>
          <w:p w14:paraId="3FBC5507" w14:textId="77777777" w:rsidR="001C2316" w:rsidRDefault="00000000">
            <w:pPr>
              <w:spacing w:after="0" w:line="240" w:lineRule="auto"/>
              <w:jc w:val="center"/>
            </w:pPr>
            <w:r>
              <w:rPr>
                <w:rFonts w:cs="Times New Roman"/>
              </w:rPr>
              <w:t>4</w:t>
            </w:r>
          </w:p>
        </w:tc>
        <w:tc>
          <w:tcPr>
            <w:tcW w:w="5000" w:type="dxa"/>
          </w:tcPr>
          <w:p w14:paraId="3716B4F3" w14:textId="77777777" w:rsidR="001C2316" w:rsidRDefault="00000000" w:rsidP="008F1452">
            <w:pPr>
              <w:spacing w:after="0" w:line="240" w:lineRule="auto"/>
              <w:jc w:val="both"/>
            </w:pPr>
            <w:r>
              <w:rPr>
                <w:rFonts w:cs="Times New Roman"/>
              </w:rPr>
              <w:t xml:space="preserve">Kinh phí tiết kiệm được sau khi hoàn </w:t>
            </w:r>
            <w:r>
              <w:rPr>
                <w:rFonts w:cs="Times New Roman"/>
              </w:rPr>
              <w:lastRenderedPageBreak/>
              <w:t>thành nhiệm vụ chưa có cơ chế xử lý rõ ràng</w:t>
            </w:r>
          </w:p>
        </w:tc>
        <w:tc>
          <w:tcPr>
            <w:tcW w:w="3272" w:type="dxa"/>
          </w:tcPr>
          <w:p w14:paraId="7D28AC16" w14:textId="77777777" w:rsidR="001C2316" w:rsidRDefault="00000000" w:rsidP="008F1452">
            <w:pPr>
              <w:spacing w:after="0" w:line="240" w:lineRule="auto"/>
              <w:jc w:val="both"/>
            </w:pPr>
            <w:r>
              <w:rPr>
                <w:rFonts w:cs="Times New Roman"/>
              </w:rPr>
              <w:lastRenderedPageBreak/>
              <w:t xml:space="preserve">Triệt tiêu động lực tiết </w:t>
            </w:r>
            <w:r>
              <w:rPr>
                <w:rFonts w:cs="Times New Roman"/>
              </w:rPr>
              <w:lastRenderedPageBreak/>
              <w:t>kiệm; xu hướng tiêu hết dự toán cuối kỳ.</w:t>
            </w:r>
          </w:p>
        </w:tc>
      </w:tr>
      <w:tr w:rsidR="001C2316" w14:paraId="7A578AC3" w14:textId="77777777">
        <w:tc>
          <w:tcPr>
            <w:tcW w:w="800" w:type="dxa"/>
          </w:tcPr>
          <w:p w14:paraId="77D49EB5" w14:textId="77777777" w:rsidR="001C2316" w:rsidRDefault="00000000">
            <w:pPr>
              <w:spacing w:after="0" w:line="240" w:lineRule="auto"/>
              <w:jc w:val="center"/>
            </w:pPr>
            <w:r>
              <w:rPr>
                <w:rFonts w:cs="Times New Roman"/>
              </w:rPr>
              <w:lastRenderedPageBreak/>
              <w:t>5</w:t>
            </w:r>
          </w:p>
        </w:tc>
        <w:tc>
          <w:tcPr>
            <w:tcW w:w="5000" w:type="dxa"/>
          </w:tcPr>
          <w:p w14:paraId="32D96ECE" w14:textId="77777777" w:rsidR="001C2316" w:rsidRDefault="00000000" w:rsidP="008F1452">
            <w:pPr>
              <w:spacing w:after="0" w:line="240" w:lineRule="auto"/>
              <w:jc w:val="both"/>
            </w:pPr>
            <w:r>
              <w:rPr>
                <w:rFonts w:cs="Times New Roman"/>
              </w:rPr>
              <w:t>Chưa phân định rõ giữa rủi ro khách quan trong nghiên cứu và vi phạm chủ quan</w:t>
            </w:r>
          </w:p>
        </w:tc>
        <w:tc>
          <w:tcPr>
            <w:tcW w:w="3272" w:type="dxa"/>
          </w:tcPr>
          <w:p w14:paraId="5A7CA1C9" w14:textId="77777777" w:rsidR="001C2316" w:rsidRDefault="00000000" w:rsidP="008F1452">
            <w:pPr>
              <w:spacing w:after="0" w:line="240" w:lineRule="auto"/>
              <w:jc w:val="both"/>
            </w:pPr>
            <w:r>
              <w:rPr>
                <w:rFonts w:cs="Times New Roman"/>
              </w:rPr>
              <w:t>Tâm lý né tránh nhiệm vụ có tính đột phá, rủi ro cao; nhà khoa học e ngại trách nhiệm tài chính.</w:t>
            </w:r>
          </w:p>
        </w:tc>
      </w:tr>
    </w:tbl>
    <w:p w14:paraId="3D28DCC7" w14:textId="77777777" w:rsidR="001C2316" w:rsidRDefault="00000000">
      <w:pPr>
        <w:adjustRightInd w:val="0"/>
        <w:snapToGrid w:val="0"/>
        <w:spacing w:after="120" w:line="288" w:lineRule="auto"/>
        <w:ind w:firstLine="567"/>
        <w:jc w:val="both"/>
      </w:pPr>
      <w:r>
        <w:rPr>
          <w:rFonts w:cs="Times New Roman"/>
        </w:rPr>
        <w:t>c) Sự cần thiết ban hành: Từ những bất cập nêu trên và yêu cầu thi hành điểm a khoản 3 Điều 30 Luật Phát triển đô thị, việc ban hành Quyết định là cần thiết và cấp thiết, nhằm thiết lập hành lang pháp lý thống nhất, chuyển trọng tâm quản lý từ đầu vào sang kết quả đầu ra, giải phóng nguồn lực và thời gian của đội ngũ nghiên cứu.</w:t>
      </w:r>
    </w:p>
    <w:p w14:paraId="63AA8D31" w14:textId="77777777" w:rsidR="001C2316" w:rsidRDefault="00000000">
      <w:pPr>
        <w:adjustRightInd w:val="0"/>
        <w:snapToGrid w:val="0"/>
        <w:spacing w:after="120" w:line="288" w:lineRule="auto"/>
        <w:ind w:firstLine="567"/>
        <w:jc w:val="both"/>
      </w:pPr>
      <w:r>
        <w:rPr>
          <w:rFonts w:cs="Times New Roman"/>
          <w:b/>
        </w:rPr>
        <w:t>2. Mục tiêu chính sách</w:t>
      </w:r>
    </w:p>
    <w:p w14:paraId="20F774E8" w14:textId="77777777" w:rsidR="001C2316" w:rsidRDefault="00000000">
      <w:pPr>
        <w:adjustRightInd w:val="0"/>
        <w:snapToGrid w:val="0"/>
        <w:spacing w:after="120" w:line="288" w:lineRule="auto"/>
        <w:ind w:firstLine="567"/>
        <w:jc w:val="both"/>
      </w:pPr>
      <w:r>
        <w:rPr>
          <w:rFonts w:cs="Times New Roman"/>
        </w:rPr>
        <w:t>Mục tiêu tổng quát: Nâng cao hiệu quả sử dụng ngân sách Thành phố cho khoa học, công nghệ và đổi mới sáng tạo thông qua cơ chế khoán chi gắn với kết quả đầu ra, tăng quyền tự chủ đi đôi với trách nhiệm giải trình.</w:t>
      </w:r>
    </w:p>
    <w:p w14:paraId="504CB588" w14:textId="77777777" w:rsidR="001C2316" w:rsidRDefault="00000000">
      <w:pPr>
        <w:adjustRightInd w:val="0"/>
        <w:snapToGrid w:val="0"/>
        <w:spacing w:after="120" w:line="288" w:lineRule="auto"/>
        <w:ind w:firstLine="567"/>
        <w:jc w:val="both"/>
      </w:pPr>
      <w:r>
        <w:rPr>
          <w:rFonts w:cs="Times New Roman"/>
        </w:rPr>
        <w:t>Mục tiêu cụ thể:</w:t>
      </w:r>
    </w:p>
    <w:p w14:paraId="29DD06A9" w14:textId="77777777" w:rsidR="001C2316" w:rsidRDefault="00000000">
      <w:pPr>
        <w:adjustRightInd w:val="0"/>
        <w:snapToGrid w:val="0"/>
        <w:spacing w:after="120" w:line="288" w:lineRule="auto"/>
        <w:ind w:firstLine="567"/>
        <w:jc w:val="both"/>
      </w:pPr>
      <w:r>
        <w:rPr>
          <w:rFonts w:cs="Times New Roman"/>
        </w:rPr>
        <w:t>Quy định thống nhất nguyên tắc, điều kiện, phương thức khoán chi áp dụng cho mọi nhiệm vụ sử dụng ngân sách Thành phố;</w:t>
      </w:r>
    </w:p>
    <w:p w14:paraId="1F555C96" w14:textId="77777777" w:rsidR="001C2316" w:rsidRDefault="00000000">
      <w:pPr>
        <w:adjustRightInd w:val="0"/>
        <w:snapToGrid w:val="0"/>
        <w:spacing w:after="120" w:line="288" w:lineRule="auto"/>
        <w:ind w:firstLine="567"/>
        <w:jc w:val="both"/>
      </w:pPr>
      <w:r>
        <w:rPr>
          <w:rFonts w:cs="Times New Roman"/>
        </w:rPr>
        <w:t>Đơn giản hóa thủ tục cấp phát, tạm ứng, thanh toán, quyết toán, rút ngắn thời gian giải ngân;</w:t>
      </w:r>
    </w:p>
    <w:p w14:paraId="28CD9C25" w14:textId="77777777" w:rsidR="001C2316" w:rsidRDefault="00000000">
      <w:pPr>
        <w:adjustRightInd w:val="0"/>
        <w:snapToGrid w:val="0"/>
        <w:spacing w:after="120" w:line="288" w:lineRule="auto"/>
        <w:ind w:firstLine="567"/>
        <w:jc w:val="both"/>
      </w:pPr>
      <w:r>
        <w:rPr>
          <w:rFonts w:cs="Times New Roman"/>
        </w:rPr>
        <w:t>Tạo động lực tiết kiệm và nâng cao chất lượng sản phẩm thông qua cơ chế hệ số k và xử lý kinh phí khoán dư;</w:t>
      </w:r>
    </w:p>
    <w:p w14:paraId="72EBED03" w14:textId="77777777" w:rsidR="001C2316" w:rsidRDefault="00000000">
      <w:pPr>
        <w:adjustRightInd w:val="0"/>
        <w:snapToGrid w:val="0"/>
        <w:spacing w:after="120" w:line="288" w:lineRule="auto"/>
        <w:ind w:firstLine="567"/>
        <w:jc w:val="both"/>
      </w:pPr>
      <w:r>
        <w:rPr>
          <w:rFonts w:cs="Times New Roman"/>
        </w:rPr>
        <w:t>Phân định rõ rủi ro nghiên cứu khách quan với vi phạm chủ quan, bảo vệ nhà khoa học trung thực;</w:t>
      </w:r>
    </w:p>
    <w:p w14:paraId="5FF0876C" w14:textId="77777777" w:rsidR="001C2316" w:rsidRDefault="00000000">
      <w:pPr>
        <w:adjustRightInd w:val="0"/>
        <w:snapToGrid w:val="0"/>
        <w:spacing w:after="120" w:line="288" w:lineRule="auto"/>
        <w:ind w:firstLine="567"/>
        <w:jc w:val="both"/>
      </w:pPr>
      <w:r>
        <w:rPr>
          <w:rFonts w:cs="Times New Roman"/>
        </w:rPr>
        <w:t>Bảo đảm công khai, minh bạch, phòng chống thất thoát, lãng phí thông qua cơ chế hậu kiểm.</w:t>
      </w:r>
    </w:p>
    <w:p w14:paraId="2988137A" w14:textId="77777777" w:rsidR="001C2316" w:rsidRDefault="00000000">
      <w:pPr>
        <w:spacing w:before="120" w:after="120" w:line="288" w:lineRule="auto"/>
        <w:ind w:firstLine="567"/>
      </w:pPr>
      <w:r>
        <w:rPr>
          <w:rFonts w:cs="Times New Roman"/>
          <w:b/>
        </w:rPr>
        <w:t>II. ĐÁNH GIÁ TÁC ĐỘNG CỦA CHÍNH SÁCH</w:t>
      </w:r>
    </w:p>
    <w:p w14:paraId="645FEF9B" w14:textId="77777777" w:rsidR="001C2316" w:rsidRDefault="00000000">
      <w:pPr>
        <w:adjustRightInd w:val="0"/>
        <w:snapToGrid w:val="0"/>
        <w:spacing w:after="120" w:line="288" w:lineRule="auto"/>
        <w:ind w:firstLine="567"/>
        <w:jc w:val="both"/>
      </w:pPr>
      <w:r>
        <w:rPr>
          <w:rFonts w:cs="Times New Roman"/>
        </w:rPr>
        <w:t>Tên chính sách tổng thể: Quy định khoán chi trong thực hiện nhiệm vụ, dự án, đề án khoa học, công nghệ và đổi mới sáng tạo có sử dụng ngân sách Thành phố Hồ Chí Minh. Dự thảo Quy định gồm 06 chương, 17 điều và 01 Phụ lục; nội dung được cấu trúc thành 04 nhóm chính sách thành phần được đánh giá tác động như sau.</w:t>
      </w:r>
    </w:p>
    <w:p w14:paraId="4F7807AA" w14:textId="77777777" w:rsidR="001C2316" w:rsidRDefault="00000000">
      <w:pPr>
        <w:adjustRightInd w:val="0"/>
        <w:snapToGrid w:val="0"/>
        <w:spacing w:after="120" w:line="288" w:lineRule="auto"/>
        <w:ind w:firstLine="567"/>
        <w:jc w:val="both"/>
      </w:pPr>
      <w:r>
        <w:rPr>
          <w:rFonts w:cs="Times New Roman"/>
          <w:b/>
        </w:rPr>
        <w:lastRenderedPageBreak/>
        <w:t>1. Chính sách 1: Xác định phạm vi, đối tượng, nguyên tắc khoán chi và dẫn chiếu phương thức, điều kiện áp dụng khoán chi</w:t>
      </w:r>
    </w:p>
    <w:p w14:paraId="4ACAF659" w14:textId="77777777" w:rsidR="001C2316" w:rsidRDefault="00000000">
      <w:pPr>
        <w:adjustRightInd w:val="0"/>
        <w:snapToGrid w:val="0"/>
        <w:spacing w:after="120" w:line="288" w:lineRule="auto"/>
        <w:ind w:firstLine="567"/>
        <w:jc w:val="both"/>
      </w:pPr>
      <w:r>
        <w:rPr>
          <w:rFonts w:cs="Times New Roman"/>
        </w:rPr>
        <w:t>a) Vấn đề: Chưa có văn bản của Thành phố xác định rõ phạm vi, đối tượng, nguyên tắc và giới hạn không áp dụng khoán chi; đồng thời có nguy cơ quy định trùng lặp hoặc vượt thẩm quyền nếu Thành phố quy định lại phương thức, điều kiện áp dụng khoán chi đã được quy định tại pháp luật chuyên ngành.</w:t>
      </w:r>
    </w:p>
    <w:p w14:paraId="67599C41" w14:textId="77777777" w:rsidR="001C2316" w:rsidRDefault="00000000">
      <w:pPr>
        <w:adjustRightInd w:val="0"/>
        <w:snapToGrid w:val="0"/>
        <w:spacing w:after="120" w:line="288" w:lineRule="auto"/>
        <w:ind w:firstLine="567"/>
        <w:jc w:val="both"/>
      </w:pPr>
      <w:r>
        <w:rPr>
          <w:rFonts w:cs="Times New Roman"/>
        </w:rPr>
        <w:t>b) Các giải pháp: Giải pháp 1 (giữ nguyên hiện trạng): Không ban hành quy định riêng, áp dụng trực tiếp quy định của trung ương và vận dụng theo từng trường hợp cụ thể. Giải pháp 2 (được đề xuất): Quy định xác định phạm vi điều chỉnh (Điều 1, gồm cả nhiệm vụ có nguồn vốn hỗn hợp theo khoản 3 Điều 1, bảo đảm không trùng lặp nội dung chi), đối tượng áp dụng (Điều 2), nguyên tắc khoán chi gắn quyền tự chủ với kết quả đầu ra và nghiêm cấm trùng lặp nguồn (Điều 4), giới hạn các khoản không áp dụng khoán chi (khoản 4 Điều 4: chi đầu tư xây dựng cơ bản, sửa chữa tài sản cố định, mua sắm trang thiết bị, đoàn ra, dịch vụ ngoài khi chưa có tiêu chuẩn, định mức kinh tế - kỹ thuật, trừ trường hợp được phê duyệt cụ thể trong thuyết minh); còn phương thức và điều kiện áp dụng khoán chi thì dẫn chiếu pháp luật về khoa học, công nghệ và đổi mới sáng tạo (Điều 5).</w:t>
      </w:r>
    </w:p>
    <w:p w14:paraId="73CC6757" w14:textId="77777777" w:rsidR="001C2316" w:rsidRDefault="00000000">
      <w:pPr>
        <w:adjustRightInd w:val="0"/>
        <w:snapToGrid w:val="0"/>
        <w:spacing w:after="120" w:line="288" w:lineRule="auto"/>
        <w:ind w:firstLine="567"/>
        <w:jc w:val="both"/>
      </w:pPr>
      <w:r>
        <w:rPr>
          <w:rFonts w:cs="Times New Roman"/>
        </w:rPr>
        <w:t>c) Đánh giá tác động:</w:t>
      </w:r>
    </w:p>
    <w:p w14:paraId="03A56CDF" w14:textId="77777777" w:rsidR="002F2A22" w:rsidRDefault="00000000">
      <w:pPr>
        <w:jc w:val="center"/>
      </w:pPr>
      <w:r>
        <w:rPr>
          <w:b/>
        </w:rPr>
        <w:t>Bảng 2. Đánh giá tác động của Chính sách 1 theo đối tượng chịu tác động</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0"/>
        <w:gridCol w:w="3286"/>
        <w:gridCol w:w="3286"/>
      </w:tblGrid>
      <w:tr w:rsidR="001C2316" w14:paraId="5A7B17C8" w14:textId="77777777">
        <w:tc>
          <w:tcPr>
            <w:tcW w:w="2500" w:type="dxa"/>
          </w:tcPr>
          <w:p w14:paraId="7C4E48A7" w14:textId="77777777" w:rsidR="001C2316" w:rsidRDefault="00000000">
            <w:pPr>
              <w:spacing w:after="0" w:line="240" w:lineRule="auto"/>
              <w:jc w:val="center"/>
            </w:pPr>
            <w:r>
              <w:rPr>
                <w:rFonts w:cs="Times New Roman"/>
                <w:b/>
              </w:rPr>
              <w:t>Đối tượng chịu tác động</w:t>
            </w:r>
          </w:p>
        </w:tc>
        <w:tc>
          <w:tcPr>
            <w:tcW w:w="3286" w:type="dxa"/>
          </w:tcPr>
          <w:p w14:paraId="62461DDC" w14:textId="77777777" w:rsidR="001C2316" w:rsidRDefault="00000000">
            <w:pPr>
              <w:spacing w:after="0" w:line="240" w:lineRule="auto"/>
              <w:jc w:val="center"/>
            </w:pPr>
            <w:r>
              <w:rPr>
                <w:rFonts w:cs="Times New Roman"/>
                <w:b/>
              </w:rPr>
              <w:t>Giải pháp 1</w:t>
            </w:r>
          </w:p>
        </w:tc>
        <w:tc>
          <w:tcPr>
            <w:tcW w:w="3286" w:type="dxa"/>
          </w:tcPr>
          <w:p w14:paraId="36F4700B" w14:textId="77777777" w:rsidR="001C2316" w:rsidRDefault="00000000">
            <w:pPr>
              <w:spacing w:after="0" w:line="240" w:lineRule="auto"/>
              <w:jc w:val="center"/>
            </w:pPr>
            <w:r>
              <w:rPr>
                <w:rFonts w:cs="Times New Roman"/>
                <w:b/>
              </w:rPr>
              <w:t>Giải pháp 2</w:t>
            </w:r>
          </w:p>
        </w:tc>
      </w:tr>
      <w:tr w:rsidR="001C2316" w14:paraId="35376909" w14:textId="77777777">
        <w:tc>
          <w:tcPr>
            <w:tcW w:w="2500" w:type="dxa"/>
          </w:tcPr>
          <w:p w14:paraId="3F4C3FEE" w14:textId="77777777" w:rsidR="001C2316" w:rsidRDefault="00000000" w:rsidP="008F1452">
            <w:pPr>
              <w:spacing w:after="0" w:line="240" w:lineRule="auto"/>
              <w:jc w:val="both"/>
            </w:pPr>
            <w:r>
              <w:rPr>
                <w:rFonts w:cs="Times New Roman"/>
              </w:rPr>
              <w:t>Nhà nước</w:t>
            </w:r>
          </w:p>
        </w:tc>
        <w:tc>
          <w:tcPr>
            <w:tcW w:w="3286" w:type="dxa"/>
          </w:tcPr>
          <w:p w14:paraId="6B3D52FE" w14:textId="77777777" w:rsidR="001C2316" w:rsidRDefault="00000000" w:rsidP="008F1452">
            <w:pPr>
              <w:spacing w:after="0" w:line="240" w:lineRule="auto"/>
              <w:jc w:val="both"/>
            </w:pPr>
            <w:r>
              <w:rPr>
                <w:rFonts w:cs="Times New Roman"/>
              </w:rPr>
              <w:t>Không phát sinh chi phí ban hành văn bản; nhưng không thực hiện được nhiệm vụ lập quy được giao tại điểm a khoản 3 Điều 30 Luật Phát triển đô thị; tiếp tục áp dụng thiếu thống nhất</w:t>
            </w:r>
          </w:p>
        </w:tc>
        <w:tc>
          <w:tcPr>
            <w:tcW w:w="3286" w:type="dxa"/>
          </w:tcPr>
          <w:p w14:paraId="2AA5C9B2" w14:textId="77777777" w:rsidR="001C2316" w:rsidRDefault="00000000" w:rsidP="008F1452">
            <w:pPr>
              <w:spacing w:after="0" w:line="240" w:lineRule="auto"/>
              <w:jc w:val="both"/>
            </w:pPr>
            <w:r>
              <w:rPr>
                <w:rFonts w:cs="Times New Roman"/>
              </w:rPr>
              <w:t>Hoàn thành nhiệm vụ lập quy; xác định rõ phạm vi, đối tượng, nguyên tắc và giới hạn không áp dụng khoán chi; dẫn chiếu phương thức, điều kiện áp dụng khoán chi theo pháp luật chuyên ngành, bảo đảm không trùng lặp, không vượt thẩm quyền; có căn cứ pháp lý minh bạch để phê duyệt, ký hợp đồng, kiểm soát chi; giảm tranh chấp, vướng mắc trong thực thi.</w:t>
            </w:r>
          </w:p>
        </w:tc>
      </w:tr>
      <w:tr w:rsidR="001C2316" w14:paraId="4B6B1C47" w14:textId="77777777">
        <w:tc>
          <w:tcPr>
            <w:tcW w:w="2500" w:type="dxa"/>
          </w:tcPr>
          <w:p w14:paraId="29C56107" w14:textId="77777777" w:rsidR="001C2316" w:rsidRDefault="00000000" w:rsidP="008F1452">
            <w:pPr>
              <w:spacing w:after="0" w:line="240" w:lineRule="auto"/>
              <w:jc w:val="both"/>
            </w:pPr>
            <w:r>
              <w:rPr>
                <w:rFonts w:cs="Times New Roman"/>
              </w:rPr>
              <w:lastRenderedPageBreak/>
              <w:t>Tổ chức chủ trì, nhà khoa học</w:t>
            </w:r>
          </w:p>
        </w:tc>
        <w:tc>
          <w:tcPr>
            <w:tcW w:w="3286" w:type="dxa"/>
          </w:tcPr>
          <w:p w14:paraId="14280C75" w14:textId="77777777" w:rsidR="001C2316" w:rsidRDefault="00000000" w:rsidP="008F1452">
            <w:pPr>
              <w:spacing w:after="0" w:line="240" w:lineRule="auto"/>
              <w:jc w:val="both"/>
            </w:pPr>
            <w:r>
              <w:rPr>
                <w:rFonts w:cs="Times New Roman"/>
              </w:rPr>
              <w:t>Không dự liệu được phương thức quản lý kinh phí ngay từ khâu đề xuất; rủi ro pháp lý khi áp dụng</w:t>
            </w:r>
          </w:p>
        </w:tc>
        <w:tc>
          <w:tcPr>
            <w:tcW w:w="3286" w:type="dxa"/>
          </w:tcPr>
          <w:p w14:paraId="5F729FD8" w14:textId="77777777" w:rsidR="001C2316" w:rsidRDefault="00000000" w:rsidP="008F1452">
            <w:pPr>
              <w:spacing w:after="0" w:line="240" w:lineRule="auto"/>
              <w:jc w:val="both"/>
            </w:pPr>
            <w:r>
              <w:rPr>
                <w:rFonts w:cs="Times New Roman"/>
              </w:rPr>
              <w:t>Biết trước phạm vi, đối tượng, nguyên tắc và giới hạn không áp dụng khoán chi; chủ động xây dựng thuyết minh và dự toán phù hợp; tăng tính dự báo.</w:t>
            </w:r>
          </w:p>
        </w:tc>
      </w:tr>
      <w:tr w:rsidR="001C2316" w14:paraId="1B9A6D8E" w14:textId="77777777">
        <w:tc>
          <w:tcPr>
            <w:tcW w:w="2500" w:type="dxa"/>
          </w:tcPr>
          <w:p w14:paraId="67289E77" w14:textId="77777777" w:rsidR="001C2316" w:rsidRDefault="00000000" w:rsidP="008F1452">
            <w:pPr>
              <w:spacing w:after="0" w:line="240" w:lineRule="auto"/>
              <w:jc w:val="both"/>
            </w:pPr>
            <w:r>
              <w:rPr>
                <w:rFonts w:cs="Times New Roman"/>
              </w:rPr>
              <w:t>Kho bạc Nhà nước</w:t>
            </w:r>
          </w:p>
        </w:tc>
        <w:tc>
          <w:tcPr>
            <w:tcW w:w="3286" w:type="dxa"/>
          </w:tcPr>
          <w:p w14:paraId="1C5430CC" w14:textId="77777777" w:rsidR="001C2316" w:rsidRDefault="00000000" w:rsidP="008F1452">
            <w:pPr>
              <w:spacing w:after="0" w:line="240" w:lineRule="auto"/>
              <w:jc w:val="both"/>
            </w:pPr>
            <w:r>
              <w:rPr>
                <w:rFonts w:cs="Times New Roman"/>
              </w:rPr>
              <w:t>Thiếu căn cứ cụ thể để kiểm soát chi theo đặc thù khoán</w:t>
            </w:r>
          </w:p>
        </w:tc>
        <w:tc>
          <w:tcPr>
            <w:tcW w:w="3286" w:type="dxa"/>
          </w:tcPr>
          <w:p w14:paraId="64E0B55C" w14:textId="77777777" w:rsidR="001C2316" w:rsidRDefault="00000000" w:rsidP="008F1452">
            <w:pPr>
              <w:spacing w:after="0" w:line="240" w:lineRule="auto"/>
              <w:jc w:val="both"/>
            </w:pPr>
            <w:r>
              <w:rPr>
                <w:rFonts w:cs="Times New Roman"/>
              </w:rPr>
              <w:t>Có căn cứ rõ ràng, thống nhất về phạm vi, đối tượng, nguyên tắc khoán chi và quy trình kiểm soát chi.</w:t>
            </w:r>
          </w:p>
        </w:tc>
      </w:tr>
    </w:tbl>
    <w:p w14:paraId="0E699FFB" w14:textId="77777777" w:rsidR="001C2316" w:rsidRDefault="00000000">
      <w:pPr>
        <w:adjustRightInd w:val="0"/>
        <w:snapToGrid w:val="0"/>
        <w:spacing w:after="120" w:line="288" w:lineRule="auto"/>
        <w:ind w:firstLine="567"/>
        <w:jc w:val="both"/>
      </w:pPr>
      <w:r>
        <w:rPr>
          <w:rFonts w:cs="Times New Roman"/>
        </w:rPr>
        <w:t>d) Lựa chọn: Giải pháp 2, vì bảo đảm thi hành đúng nhiệm vụ được Luật giao, khắc phục tình trạng áp dụng không thống nhất; đồng thời đây là điểm mạnh về kỹ thuật lập quy, bảo đảm không quy định trùng lặp, không vượt thẩm quyền được giao và tự động cập nhật khi pháp luật chuyên ngành sửa đổi (phù hợp khoản 3 Điều 16 dự thảo).</w:t>
      </w:r>
    </w:p>
    <w:p w14:paraId="052B06ED" w14:textId="77777777" w:rsidR="001C2316" w:rsidRDefault="00000000">
      <w:pPr>
        <w:adjustRightInd w:val="0"/>
        <w:snapToGrid w:val="0"/>
        <w:spacing w:after="120" w:line="288" w:lineRule="auto"/>
        <w:ind w:firstLine="567"/>
        <w:jc w:val="both"/>
      </w:pPr>
      <w:r>
        <w:rPr>
          <w:rFonts w:cs="Times New Roman"/>
          <w:b/>
        </w:rPr>
        <w:t>2. Chính sách 2: Đơn giản hóa cấp phát, tạm ứng, thanh toán, quyết toán kinh phí khoán</w:t>
      </w:r>
    </w:p>
    <w:p w14:paraId="5EB5620D" w14:textId="77777777" w:rsidR="001C2316" w:rsidRDefault="00000000">
      <w:pPr>
        <w:adjustRightInd w:val="0"/>
        <w:snapToGrid w:val="0"/>
        <w:spacing w:after="120" w:line="288" w:lineRule="auto"/>
        <w:ind w:firstLine="567"/>
        <w:jc w:val="both"/>
      </w:pPr>
      <w:r>
        <w:rPr>
          <w:rFonts w:cs="Times New Roman"/>
        </w:rPr>
        <w:t>a) Vấn đề: Thủ tục thanh quyết toán nặng về chứng từ chi tiết, thời gian kéo dài, tiến độ cấp kinh phí chậm làm ảnh hưởng trực tiếp đến tiến độ nghiên cứu.</w:t>
      </w:r>
    </w:p>
    <w:p w14:paraId="6F7F7026" w14:textId="77777777" w:rsidR="001C2316" w:rsidRDefault="00000000">
      <w:pPr>
        <w:adjustRightInd w:val="0"/>
        <w:snapToGrid w:val="0"/>
        <w:spacing w:after="120" w:line="288" w:lineRule="auto"/>
        <w:ind w:firstLine="567"/>
        <w:jc w:val="both"/>
      </w:pPr>
      <w:r>
        <w:rPr>
          <w:rFonts w:cs="Times New Roman"/>
        </w:rPr>
        <w:t>b) Các giải pháp: Giải pháp 1: Giữ nguyên quy trình kiểm soát chi theo chứng từ chi tiết đối với toàn bộ kinh phí nhiệm vụ. Giải pháp 2 (được đề xuất): Quy định tạm ứng kinh phí cho tổ chức chủ trì theo tiến độ quy định tại hợp đồng nhưng không quá 50% tổng kinh phí nhiệm vụ ngay sau khi ký hợp đồng; thanh toán, quyết toán căn cứ vào Biên bản đánh giá của Hội đồng tư vấn và sản phẩm đầu ra; cơ quan quản lý, cơ quan tài chính và Kho bạc Nhà nước không yêu cầu xuất trình chứng từ, hóa đơn chi tiết đối với phần kinh phí được khoán (Điều 8, Điều 9 dự thảo Quy định).</w:t>
      </w:r>
    </w:p>
    <w:p w14:paraId="06FE636F" w14:textId="77777777" w:rsidR="001C2316" w:rsidRDefault="00000000">
      <w:pPr>
        <w:adjustRightInd w:val="0"/>
        <w:snapToGrid w:val="0"/>
        <w:spacing w:after="120" w:line="288" w:lineRule="auto"/>
        <w:ind w:firstLine="567"/>
        <w:jc w:val="both"/>
      </w:pPr>
      <w:r>
        <w:rPr>
          <w:rFonts w:cs="Times New Roman"/>
        </w:rPr>
        <w:t>c) Đánh giá tác động:</w:t>
      </w:r>
    </w:p>
    <w:p w14:paraId="68395617" w14:textId="77777777" w:rsidR="001C2316" w:rsidRDefault="00000000">
      <w:pPr>
        <w:adjustRightInd w:val="0"/>
        <w:snapToGrid w:val="0"/>
        <w:spacing w:after="120" w:line="288" w:lineRule="auto"/>
        <w:ind w:firstLine="567"/>
        <w:jc w:val="both"/>
      </w:pPr>
      <w:r>
        <w:rPr>
          <w:rFonts w:cs="Times New Roman"/>
        </w:rPr>
        <w:t xml:space="preserve">(i) Tác động về kinh tế: Đối với ngân sách Thành phố: Không làm tăng tổng mức chi. Kinh phí thực hiện nằm trong dự toán chi sự nghiệp khoa học và công nghệ đã được Hội đồng nhân dân Thành phố quyết định hằng năm, không phát sinh nguồn chi ngoài dự toán, không ảnh hưởng đến cân đối ngân sách trung ương. Đối với tổ chức chủ trì: Giảm đáng kể chi phí tuân thủ hành chính (nhân lực kế toán, thời gian tập hợp và giải trình chứng từ). Việc tạm ứng không quá 50% tổng kinh phí nhiệm vụ ngay sau khi ký hợp đồng theo tiến độ hợp </w:t>
      </w:r>
      <w:r>
        <w:rPr>
          <w:rFonts w:cs="Times New Roman"/>
        </w:rPr>
        <w:lastRenderedPageBreak/>
        <w:t>đồng bảo đảm nguồn kinh phí ban đầu được cấp ngay sau khi ký hợp đồng, giảm đáng kể áp lực ứng trước kinh phí của tổ chức chủ trì, cải thiện dòng tiền và bảo đảm tiến độ nghiên cứu. Đối với chủ nhiệm nhiệm vụ: Tăng thời gian dành cho hoạt động nghiên cứu thay vì công việc hành chính, qua đó nâng cao năng suất nghiên cứu trên mỗi đồng ngân sách.</w:t>
      </w:r>
    </w:p>
    <w:p w14:paraId="7AA8961B" w14:textId="77777777" w:rsidR="001C2316" w:rsidRDefault="00000000">
      <w:pPr>
        <w:adjustRightInd w:val="0"/>
        <w:snapToGrid w:val="0"/>
        <w:spacing w:after="120" w:line="288" w:lineRule="auto"/>
        <w:ind w:firstLine="567"/>
        <w:jc w:val="both"/>
      </w:pPr>
      <w:r>
        <w:rPr>
          <w:rFonts w:cs="Times New Roman"/>
        </w:rPr>
        <w:t>(ii) Tác động về xã hội: Tăng sức hấp dẫn của nguồn ngân sách Thành phố đối với các trường đại học, viện nghiên cứu, doanh nghiệp khoa học và công nghệ; thu hút chuyên gia trong và ngoài nước tham gia nhiệm vụ của Thành phố; góp phần hình thành môi trường nghiên cứu thực chất, trung thực, hạn chế hành vi hợp thức hóa chứng từ.</w:t>
      </w:r>
    </w:p>
    <w:p w14:paraId="30937D46" w14:textId="77777777" w:rsidR="001C2316" w:rsidRDefault="00000000">
      <w:pPr>
        <w:adjustRightInd w:val="0"/>
        <w:snapToGrid w:val="0"/>
        <w:spacing w:after="120" w:line="288" w:lineRule="auto"/>
        <w:ind w:firstLine="567"/>
        <w:jc w:val="both"/>
      </w:pPr>
      <w:r>
        <w:rPr>
          <w:rFonts w:cs="Times New Roman"/>
        </w:rPr>
        <w:t>(iii) Rủi ro và biện pháp kiểm soát:</w:t>
      </w:r>
    </w:p>
    <w:p w14:paraId="2539BCD3" w14:textId="77777777" w:rsidR="002F2A22" w:rsidRDefault="00000000">
      <w:pPr>
        <w:jc w:val="center"/>
      </w:pPr>
      <w:r>
        <w:rPr>
          <w:b/>
        </w:rPr>
        <w:t>Bảng 3. Rủi ro tiềm ẩn và biện pháp kiểm soát của Chính sách 2</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4536"/>
      </w:tblGrid>
      <w:tr w:rsidR="001C2316" w14:paraId="4BAC7B9F" w14:textId="77777777">
        <w:tc>
          <w:tcPr>
            <w:tcW w:w="4536" w:type="dxa"/>
          </w:tcPr>
          <w:p w14:paraId="330DAEB0" w14:textId="77777777" w:rsidR="001C2316" w:rsidRDefault="00000000">
            <w:pPr>
              <w:spacing w:after="0" w:line="240" w:lineRule="auto"/>
              <w:jc w:val="center"/>
            </w:pPr>
            <w:r>
              <w:rPr>
                <w:rFonts w:cs="Times New Roman"/>
                <w:b/>
              </w:rPr>
              <w:t>Rủi ro tiềm ẩn</w:t>
            </w:r>
          </w:p>
        </w:tc>
        <w:tc>
          <w:tcPr>
            <w:tcW w:w="4536" w:type="dxa"/>
          </w:tcPr>
          <w:p w14:paraId="2EF36D15" w14:textId="77777777" w:rsidR="001C2316" w:rsidRDefault="00000000">
            <w:pPr>
              <w:spacing w:after="0" w:line="240" w:lineRule="auto"/>
              <w:jc w:val="center"/>
            </w:pPr>
            <w:r>
              <w:rPr>
                <w:rFonts w:cs="Times New Roman"/>
                <w:b/>
              </w:rPr>
              <w:t>Biện pháp kiểm soát trong dự thảo</w:t>
            </w:r>
          </w:p>
        </w:tc>
      </w:tr>
      <w:tr w:rsidR="001C2316" w14:paraId="7CCD57E0" w14:textId="77777777">
        <w:tc>
          <w:tcPr>
            <w:tcW w:w="4536" w:type="dxa"/>
          </w:tcPr>
          <w:p w14:paraId="330F570F" w14:textId="77777777" w:rsidR="001C2316" w:rsidRDefault="00000000" w:rsidP="008F1452">
            <w:pPr>
              <w:spacing w:after="0" w:line="240" w:lineRule="auto"/>
              <w:jc w:val="both"/>
            </w:pPr>
            <w:r>
              <w:rPr>
                <w:rFonts w:cs="Times New Roman"/>
              </w:rPr>
              <w:t>Nguy cơ buông lỏng quản lý, thất thoát kinh phí</w:t>
            </w:r>
          </w:p>
        </w:tc>
        <w:tc>
          <w:tcPr>
            <w:tcW w:w="4536" w:type="dxa"/>
          </w:tcPr>
          <w:p w14:paraId="6E8B9B2F" w14:textId="77777777" w:rsidR="001C2316" w:rsidRDefault="00000000" w:rsidP="008F1452">
            <w:pPr>
              <w:spacing w:after="0" w:line="240" w:lineRule="auto"/>
              <w:jc w:val="both"/>
            </w:pPr>
            <w:r>
              <w:rPr>
                <w:rFonts w:cs="Times New Roman"/>
              </w:rPr>
              <w:t>Thanh toán chỉ khi có Biên bản đánh giá đạt yêu cầu; hậu kiểm chất lượng sản phẩm (Điều 9, Điều 11).</w:t>
            </w:r>
          </w:p>
        </w:tc>
      </w:tr>
      <w:tr w:rsidR="001C2316" w14:paraId="75FBBA55" w14:textId="77777777">
        <w:tc>
          <w:tcPr>
            <w:tcW w:w="4536" w:type="dxa"/>
          </w:tcPr>
          <w:p w14:paraId="6CB12BAD" w14:textId="77777777" w:rsidR="001C2316" w:rsidRDefault="00000000" w:rsidP="008F1452">
            <w:pPr>
              <w:spacing w:after="0" w:line="240" w:lineRule="auto"/>
              <w:jc w:val="both"/>
            </w:pPr>
            <w:r>
              <w:rPr>
                <w:rFonts w:cs="Times New Roman"/>
              </w:rPr>
              <w:t>Không lưu trữ hồ sơ, khó thanh tra, kiểm toán</w:t>
            </w:r>
          </w:p>
        </w:tc>
        <w:tc>
          <w:tcPr>
            <w:tcW w:w="4536" w:type="dxa"/>
          </w:tcPr>
          <w:p w14:paraId="63E57D10" w14:textId="77777777" w:rsidR="001C2316" w:rsidRDefault="00000000" w:rsidP="008F1452">
            <w:pPr>
              <w:spacing w:after="0" w:line="240" w:lineRule="auto"/>
              <w:jc w:val="both"/>
            </w:pPr>
            <w:r>
              <w:rPr>
                <w:rFonts w:cs="Times New Roman"/>
              </w:rPr>
              <w:t>Tổ chức chủ trì vẫn phải hạch toán và lưu trữ đầy đủ hóa đơn, chứng từ tại đơn vị, xuất trình khi có yêu cầu thanh tra, kiểm toán (khoản 3 Điều 11).</w:t>
            </w:r>
          </w:p>
        </w:tc>
      </w:tr>
      <w:tr w:rsidR="001C2316" w14:paraId="1FDEAE75" w14:textId="77777777">
        <w:tc>
          <w:tcPr>
            <w:tcW w:w="4536" w:type="dxa"/>
          </w:tcPr>
          <w:p w14:paraId="552841D1" w14:textId="77777777" w:rsidR="001C2316" w:rsidRDefault="00000000" w:rsidP="008F1452">
            <w:pPr>
              <w:spacing w:after="0" w:line="240" w:lineRule="auto"/>
              <w:jc w:val="both"/>
            </w:pPr>
            <w:r>
              <w:rPr>
                <w:rFonts w:cs="Times New Roman"/>
              </w:rPr>
              <w:t>Trùng lặp nguồn kinh phí</w:t>
            </w:r>
          </w:p>
        </w:tc>
        <w:tc>
          <w:tcPr>
            <w:tcW w:w="4536" w:type="dxa"/>
          </w:tcPr>
          <w:p w14:paraId="0471E158" w14:textId="77777777" w:rsidR="001C2316" w:rsidRDefault="00000000" w:rsidP="008F1452">
            <w:pPr>
              <w:spacing w:after="0" w:line="240" w:lineRule="auto"/>
              <w:jc w:val="both"/>
            </w:pPr>
            <w:r>
              <w:rPr>
                <w:rFonts w:cs="Times New Roman"/>
              </w:rPr>
              <w:t>Nghiêm cấm lập dự toán, thanh toán, quyết toán trùng lặp (khoản 3 Điều 4).</w:t>
            </w:r>
          </w:p>
        </w:tc>
      </w:tr>
      <w:tr w:rsidR="002F2A22" w14:paraId="619403BE" w14:textId="77777777">
        <w:tc>
          <w:tcPr>
            <w:tcW w:w="4536" w:type="dxa"/>
          </w:tcPr>
          <w:p w14:paraId="3CD78EE7" w14:textId="77777777" w:rsidR="002F2A22" w:rsidRDefault="00000000">
            <w:r>
              <w:t>Thiếu minh bạch trong sử dụng kinh phí khoán còn dư</w:t>
            </w:r>
          </w:p>
        </w:tc>
        <w:tc>
          <w:tcPr>
            <w:tcW w:w="4536" w:type="dxa"/>
          </w:tcPr>
          <w:p w14:paraId="349209F0" w14:textId="77777777" w:rsidR="002F2A22" w:rsidRDefault="00000000">
            <w:r>
              <w:t>Công khai tại đơn vị và trách nhiệm giải trình (Điều 12); báo cáo tổng hợp gửi Sở Khoa học và Công nghệ (khoản 3 Điều 10)</w:t>
            </w:r>
          </w:p>
        </w:tc>
      </w:tr>
    </w:tbl>
    <w:p w14:paraId="06607BC6" w14:textId="77777777" w:rsidR="001C2316" w:rsidRDefault="00000000">
      <w:pPr>
        <w:adjustRightInd w:val="0"/>
        <w:snapToGrid w:val="0"/>
        <w:spacing w:after="120" w:line="288" w:lineRule="auto"/>
        <w:ind w:firstLine="567"/>
        <w:jc w:val="both"/>
      </w:pPr>
      <w:r>
        <w:rPr>
          <w:rFonts w:cs="Times New Roman"/>
        </w:rPr>
        <w:t>d) Lựa chọn: Giải pháp 2, vì phù hợp bản chất khoán chi và mang lại hiệu quả rõ rệt về thời gian, chi phí tuân thủ mà vẫn bảo đảm kiểm soát thông qua hậu kiểm.</w:t>
      </w:r>
    </w:p>
    <w:p w14:paraId="3E79160C" w14:textId="77777777" w:rsidR="001C2316" w:rsidRDefault="00000000">
      <w:pPr>
        <w:adjustRightInd w:val="0"/>
        <w:snapToGrid w:val="0"/>
        <w:spacing w:after="120" w:line="288" w:lineRule="auto"/>
        <w:ind w:firstLine="567"/>
        <w:jc w:val="both"/>
      </w:pPr>
      <w:r>
        <w:rPr>
          <w:rFonts w:cs="Times New Roman"/>
          <w:b/>
        </w:rPr>
        <w:t>3. Chính sách 3: Xử lý kinh phí khoán chi chưa sử dụng hết và xử lý tài chính đối với nhiệm vụ không đạt kết quả</w:t>
      </w:r>
    </w:p>
    <w:p w14:paraId="464FB043" w14:textId="77777777" w:rsidR="001C2316" w:rsidRDefault="00000000">
      <w:pPr>
        <w:adjustRightInd w:val="0"/>
        <w:snapToGrid w:val="0"/>
        <w:spacing w:after="120" w:line="288" w:lineRule="auto"/>
        <w:ind w:firstLine="567"/>
        <w:jc w:val="both"/>
      </w:pPr>
      <w:r>
        <w:rPr>
          <w:rFonts w:cs="Times New Roman"/>
        </w:rPr>
        <w:t>a) Vấn đề: Thiếu động lực tiết kiệm; đồng thời nhà khoa học e ngại rủi ro pháp lý khi nhiệm vụ không đạt mục tiêu dù đã thực hiện đúng quy trình.</w:t>
      </w:r>
    </w:p>
    <w:p w14:paraId="7A29D560" w14:textId="77777777" w:rsidR="001C2316" w:rsidRDefault="00000000">
      <w:pPr>
        <w:adjustRightInd w:val="0"/>
        <w:snapToGrid w:val="0"/>
        <w:spacing w:after="120" w:line="288" w:lineRule="auto"/>
        <w:ind w:firstLine="567"/>
        <w:jc w:val="both"/>
      </w:pPr>
      <w:r>
        <w:rPr>
          <w:rFonts w:cs="Times New Roman"/>
        </w:rPr>
        <w:lastRenderedPageBreak/>
        <w:t>b) Các giải pháp: Giải pháp 1: Thu hồi toàn bộ kinh phí chưa sử dụng hết về ngân sách; yêu cầu hoàn trả khi nhiệm vụ không đạt kết quả. Giải pháp 2 (được đề xuất): Không thu hồi kinh phí khoán còn dư khi nhiệm vụ được đánh giá cuối kỳ đạt yêu cầu; tổ chức chủ trì được sử dụng cho hoạt động khoa học công nghệ của đơn vị và khen thưởng người trực tiếp thực hiện, theo Quy chế chi tiêu nội bộ, bảo đảm công khai, minh bạch (Điều 10); đồng thời quy định cơ chế miễn hoàn trả có điều kiện đối với nhiệm vụ không đạt kết quả (Điều 13).</w:t>
      </w:r>
    </w:p>
    <w:p w14:paraId="31EBB851" w14:textId="77777777" w:rsidR="001C2316" w:rsidRDefault="00000000">
      <w:pPr>
        <w:adjustRightInd w:val="0"/>
        <w:snapToGrid w:val="0"/>
        <w:spacing w:after="120" w:line="288" w:lineRule="auto"/>
        <w:ind w:firstLine="567"/>
        <w:jc w:val="both"/>
      </w:pPr>
      <w:r>
        <w:rPr>
          <w:rFonts w:cs="Times New Roman"/>
        </w:rPr>
        <w:t>c) Đánh giá tác động:</w:t>
      </w:r>
    </w:p>
    <w:p w14:paraId="3B0AB964" w14:textId="77777777" w:rsidR="001C2316" w:rsidRDefault="00000000">
      <w:pPr>
        <w:adjustRightInd w:val="0"/>
        <w:snapToGrid w:val="0"/>
        <w:spacing w:after="120" w:line="288" w:lineRule="auto"/>
        <w:ind w:firstLine="567"/>
        <w:jc w:val="both"/>
      </w:pPr>
      <w:r>
        <w:rPr>
          <w:rFonts w:cs="Times New Roman"/>
        </w:rPr>
        <w:t>(i) Tác động về kinh tế: Tạo động lực tiết kiệm thực chất: đơn vị chủ động tối ưu chi phí thay vì tiêu hết dự toán; phần tiết kiệm được tái đầu tư trở lại cho hoạt động khoa học công nghệ, làm tăng hiệu quả biên của đồng vốn ngân sách. Không làm tăng chi ngân sách vì phần kinh phí này đã được bố trí và phê duyệt trong dự toán nhiệm vụ.</w:t>
      </w:r>
    </w:p>
    <w:p w14:paraId="2577137C" w14:textId="77777777" w:rsidR="001C2316" w:rsidRDefault="00000000">
      <w:pPr>
        <w:adjustRightInd w:val="0"/>
        <w:snapToGrid w:val="0"/>
        <w:spacing w:after="120" w:line="288" w:lineRule="auto"/>
        <w:ind w:firstLine="567"/>
        <w:jc w:val="both"/>
      </w:pPr>
      <w:r>
        <w:rPr>
          <w:rFonts w:cs="Times New Roman"/>
        </w:rPr>
        <w:t>(ii) Tác động về xã hội: Cải thiện thu nhập chính đáng của người làm nghiên cứu thông qua khen thưởng; giảm tâm lý sợ trách nhiệm, khuyến khích đăng ký các nhiệm vụ có tính đột phá, rủi ro cao nhưng giá trị lớn cho Thành phố.</w:t>
      </w:r>
    </w:p>
    <w:p w14:paraId="643353F0" w14:textId="77777777" w:rsidR="001C2316" w:rsidRDefault="00000000">
      <w:pPr>
        <w:adjustRightInd w:val="0"/>
        <w:snapToGrid w:val="0"/>
        <w:spacing w:after="120" w:line="288" w:lineRule="auto"/>
        <w:ind w:firstLine="567"/>
        <w:jc w:val="both"/>
      </w:pPr>
      <w:r>
        <w:rPr>
          <w:rFonts w:cs="Times New Roman"/>
        </w:rPr>
        <w:t>(iii) Ranh giới kiểm soát rủi ro: Cơ chế miễn hoàn trả không phải là miễn trừ trách nhiệm tuyệt đối. Dự thảo xác định rõ các khoản vẫn phải hoàn trả ngân sách gồm: Kinh phí đã cấp còn tại tài khoản tiền gửi Kho bạc mà chưa sử dụng, sau khi trừ số nợ phải trả; Kinh phí đã tạm ứng cho tổ chức, cá nhân nhưng phần công việc, hàng hóa, dịch vụ chưa thực hiện; Kinh phí sử dụng sai mục tiêu, phạm vi, nội dung nghiên cứu đã nêu tại thuyết minh. Việc xem xét do Hội đồng tư vấn thực hiện, đánh giá nguyên nhân và xác định tỷ lệ khối lượng công việc đã thực hiện hợp pháp, làm căn cứ để cơ quan quản lý quyết định. Đây là cơ chế kiểm soát quyền lực, bảo đảm không phát sinh tiêu cực, lãng phí. Ngoài ra, dự thảo còn quy định: (a) việc phân bổ, sử dụng kinh phí khoán còn dư phải tuân thủ Quy chế chi tiêu nội bộ, bảo đảm công khai, minh bạch, dân chủ và có báo cáo tổng hợp gửi Sở Khoa học và Công nghệ để theo dõi (khoản 3 Điều 10); (b) nhiệm vụ dừng thực hiện hoặc hết thời hạn hợp đồng chưa đạt kết quả cuối cùng mà không được cho phép kéo dài thì phải thực hiện thủ tục xử lý tài chính trước khi quyết toán, gắn với cơ chế Hội đồng tư vấn tại Điều 13 (điểm c khoản 2 Điều 9).</w:t>
      </w:r>
    </w:p>
    <w:p w14:paraId="2027FA80" w14:textId="77777777" w:rsidR="001C2316" w:rsidRDefault="00000000">
      <w:pPr>
        <w:adjustRightInd w:val="0"/>
        <w:snapToGrid w:val="0"/>
        <w:spacing w:after="120" w:line="288" w:lineRule="auto"/>
        <w:ind w:firstLine="567"/>
        <w:jc w:val="both"/>
      </w:pPr>
      <w:r>
        <w:rPr>
          <w:rFonts w:cs="Times New Roman"/>
        </w:rPr>
        <w:lastRenderedPageBreak/>
        <w:t>d) Lựa chọn: Giải pháp 2, vì phù hợp với nguyên tắc chấp nhận rủi ro trong nghiên cứu khoa học theo Nghị quyết số 57-NQ/TW và Luật Khoa học, công nghệ và đổi mới sáng tạo, đồng thời vẫn giữ được ranh giới xử lý đối với vi phạm chủ quan.</w:t>
      </w:r>
    </w:p>
    <w:p w14:paraId="38C1D1F3" w14:textId="77777777" w:rsidR="001C2316" w:rsidRDefault="00000000">
      <w:pPr>
        <w:adjustRightInd w:val="0"/>
        <w:snapToGrid w:val="0"/>
        <w:spacing w:after="120" w:line="288" w:lineRule="auto"/>
        <w:ind w:firstLine="567"/>
        <w:jc w:val="both"/>
      </w:pPr>
      <w:r>
        <w:rPr>
          <w:rFonts w:cs="Times New Roman"/>
          <w:b/>
        </w:rPr>
        <w:t>4. Chính sách 4: Áp dụng hệ số k trong lập dự toán khoán chi</w:t>
      </w:r>
    </w:p>
    <w:p w14:paraId="7EA01BC2" w14:textId="77777777" w:rsidR="001C2316" w:rsidRDefault="00000000">
      <w:pPr>
        <w:adjustRightInd w:val="0"/>
        <w:snapToGrid w:val="0"/>
        <w:spacing w:after="120" w:line="288" w:lineRule="auto"/>
        <w:ind w:firstLine="567"/>
        <w:jc w:val="both"/>
      </w:pPr>
      <w:r>
        <w:rPr>
          <w:rFonts w:cs="Times New Roman"/>
        </w:rPr>
        <w:t>a) Vấn đề: Mức chi cào bằng giữa nhiệm vụ thông thường và nhiệm vụ trọng điểm, chưa gắn với chất lượng sản phẩm đầu ra.</w:t>
      </w:r>
    </w:p>
    <w:p w14:paraId="5F55E26D" w14:textId="77777777" w:rsidR="001C2316" w:rsidRDefault="00000000">
      <w:pPr>
        <w:adjustRightInd w:val="0"/>
        <w:snapToGrid w:val="0"/>
        <w:spacing w:after="120" w:line="288" w:lineRule="auto"/>
        <w:ind w:firstLine="567"/>
        <w:jc w:val="both"/>
      </w:pPr>
      <w:r>
        <w:rPr>
          <w:rFonts w:cs="Times New Roman"/>
        </w:rPr>
        <w:t>b) Các giải pháp: Giải pháp 1: Áp dụng định mức chi thống nhất, không phân biệt loại hình và chất lượng sản phẩm. Giải pháp 2 (được đề xuất): Áp dụng hệ số k đối với 03 nhóm nội dung chi theo khoản 2 Điều 6: thù lao tham gia nhiệm vụ gồm thù lao chủ nhiệm, thư ký khoa học, các chức danh hoặc nhóm chức danh; chi hội nghị, hội thảo khoa học, diễn đàn, tọa đàm khoa học bao gồm họp tự đánh giá và hỗ trợ công tác phí cho chuyên gia được mời; chi điều tra, khảo sát thu thập số liệu. Theo Phụ lục ban hành kèm theo Quy định, hệ số k gồm 04 mức: k = 1 đối với nhiệm vụ thông thường; k = 1,5 khi có sản phẩm công bố quốc tế Q2 trở lên, bằng sáng chế hoặc sản phẩm ứng dụng, thương mại hóa; k = 2, 3, 4 hoặc 5 đối với nhiệm vụ trọng điểm của Thành phố theo số lượng sản phẩm cam kết; k lớn hơn 5 đối với nhiệm vụ trọng điểm có nhiều hơn 05 sản phẩm cam kết. Dự thảo cũng cho phép tổ chức, cá nhân chủ trì đề xuất mức chi thấp hơn mức quy định (khoản 1 Điều 6).</w:t>
      </w:r>
    </w:p>
    <w:p w14:paraId="7CDC60A9" w14:textId="77777777" w:rsidR="001C2316" w:rsidRDefault="00000000">
      <w:pPr>
        <w:adjustRightInd w:val="0"/>
        <w:snapToGrid w:val="0"/>
        <w:spacing w:after="120" w:line="288" w:lineRule="auto"/>
        <w:ind w:firstLine="567"/>
        <w:jc w:val="both"/>
      </w:pPr>
      <w:r>
        <w:rPr>
          <w:rFonts w:cs="Times New Roman"/>
        </w:rPr>
        <w:t>c) Đánh giá tác động: Về kinh tế: Không vượt khung định mức do Hội đồng nhân dân Thành phố quy định tại Nghị quyết số 24/2026/NQ-HĐND; dự thảo không tạo ra định mức mới vượt thẩm quyền. Việc áp dụng hệ số làm tăng chi cho nhóm nhiệm vụ trọng điểm nhưng gắn chặt với cam kết sản phẩm định lượng được, do đó bảo đảm nguyên tắc chi tương xứng với kết quả. Dự thảo cũng cho phép tổ chức, cá nhân chủ trì đề xuất mức chi thấp hơn mức quy định. Về xã hội: Ghi nhận đúng giá trị lao động chất xám trình độ cao; thu hút nhà khoa học đầu ngành; định hướng nghiên cứu của Thành phố tới các sản phẩm có giá trị khoa học và ứng dụng cao. Đối với hệ thống pháp luật: Bảo đảm thống nhất với Nghị quyết số 24/2026/NQ-HĐND và Nghị định số 265/2025/NĐ-CP.</w:t>
      </w:r>
    </w:p>
    <w:p w14:paraId="2D753745" w14:textId="77777777" w:rsidR="001C2316" w:rsidRDefault="00000000">
      <w:pPr>
        <w:adjustRightInd w:val="0"/>
        <w:snapToGrid w:val="0"/>
        <w:spacing w:after="120" w:line="288" w:lineRule="auto"/>
        <w:ind w:firstLine="567"/>
        <w:jc w:val="both"/>
      </w:pPr>
      <w:r>
        <w:rPr>
          <w:rFonts w:cs="Times New Roman"/>
        </w:rPr>
        <w:t>d) Lựa chọn: Giải pháp 2.</w:t>
      </w:r>
    </w:p>
    <w:p w14:paraId="04D61FEC" w14:textId="77777777" w:rsidR="001C2316" w:rsidRDefault="00000000">
      <w:pPr>
        <w:spacing w:before="120" w:after="120" w:line="288" w:lineRule="auto"/>
        <w:ind w:firstLine="567"/>
      </w:pPr>
      <w:r>
        <w:rPr>
          <w:rFonts w:cs="Times New Roman"/>
          <w:b/>
        </w:rPr>
        <w:t>III. ĐÁNH GIÁ TÁC ĐỘNG CHUNG CỦA DỰ THẢO</w:t>
      </w:r>
    </w:p>
    <w:p w14:paraId="259349A6" w14:textId="77777777" w:rsidR="001C2316" w:rsidRDefault="00000000">
      <w:pPr>
        <w:adjustRightInd w:val="0"/>
        <w:snapToGrid w:val="0"/>
        <w:spacing w:after="120" w:line="288" w:lineRule="auto"/>
        <w:ind w:firstLine="567"/>
        <w:jc w:val="both"/>
      </w:pPr>
      <w:r>
        <w:rPr>
          <w:rFonts w:cs="Times New Roman"/>
          <w:b/>
        </w:rPr>
        <w:t>1. Tác động đối với hệ thống pháp luật và thể chế</w:t>
      </w:r>
    </w:p>
    <w:p w14:paraId="1E7D1F87" w14:textId="77777777" w:rsidR="001C2316" w:rsidRDefault="00000000">
      <w:pPr>
        <w:adjustRightInd w:val="0"/>
        <w:snapToGrid w:val="0"/>
        <w:spacing w:after="120" w:line="288" w:lineRule="auto"/>
        <w:ind w:firstLine="567"/>
        <w:jc w:val="both"/>
      </w:pPr>
      <w:r>
        <w:rPr>
          <w:rFonts w:cs="Times New Roman"/>
        </w:rPr>
        <w:lastRenderedPageBreak/>
        <w:t>a) Tính hợp hiến, hợp pháp, tính thống nhất: Dự thảo cụ thể hóa đúng phạm vi thẩm quyền được giao tại điểm a khoản 3 Điều 30 Luật Phát triển đô thị, không mở rộng phạm vi ủy quyền lập quy; bảo đảm thống nhất với Luật Khoa học, công nghệ và đổi mới sáng tạo, Luật Ngân sách nhà nước, Luật Kế toán, Luật Đấu thầu, Luật Sở hữu trí tuệ, Nghị định số 265/2025/NĐ-CP và Nghị quyết số 24/2026/NQ-HĐND.</w:t>
      </w:r>
    </w:p>
    <w:p w14:paraId="412F36B0" w14:textId="77777777" w:rsidR="001C2316" w:rsidRDefault="00000000">
      <w:pPr>
        <w:adjustRightInd w:val="0"/>
        <w:snapToGrid w:val="0"/>
        <w:spacing w:after="120" w:line="288" w:lineRule="auto"/>
        <w:ind w:firstLine="567"/>
        <w:jc w:val="both"/>
      </w:pPr>
      <w:r>
        <w:rPr>
          <w:rFonts w:cs="Times New Roman"/>
        </w:rPr>
        <w:t>b) Phân định thẩm quyền: Trách nhiệm được phân định theo chức năng của từng chủ thể (Điều 14, Điều 15): Sở Khoa học và Công nghệ chủ trì hướng dẫn, phối hợp với Sở Tài chính kiểm tra định kỳ; Kho bạc Nhà nước khu vực II kiểm soát chi, tạm ứng, thanh toán, quyết toán; cơ quan quản lý nhiệm vụ chủ trì phối hợp hướng dẫn nghiệp vụ và tổ chức thực hiện; tổ chức chủ trì và chủ nhiệm nhiệm vụ tự chủ trong phạm vi kinh phí khoán. Quỹ Phát triển khoa học, công nghệ và đổi mới sáng tạo Thành phố là đối tượng áp dụng của Quy định theo khoản 3 Điều 2; trường hợp cần thiết, đề nghị bổ sung trách nhiệm cụ thể của Quỹ vào Điều 14 dự thảo để bảo đảm đầy đủ. Việc trao quyền tự chủ là phân định trách nhiệm quản trị nội bộ về sử dụng kinh phí, không phải chuyển giao thẩm quyền quản lý nhà nước. Điều 12 dự thảo bổ sung biện pháp kiểm soát rủi ro thông qua công khai, minh bạch và trách nhiệm giải trình của tổ chức chủ trì: công khai tên nhiệm vụ, chủ nhiệm, tổng kinh phí, phương thức khoán chi, kết quả sử dụng kinh phí khoán còn dư, trừ nhiệm vụ thuộc bí mật nhà nước; giải trình về căn cứ lập dự toán, cơ cấu phân bổ, sản phẩm, kinh phí còn dư, kinh phí phải hoàn trả, quyền sở hữu trí tuệ, tài sản hình thành.</w:t>
      </w:r>
    </w:p>
    <w:p w14:paraId="4B51E410" w14:textId="77777777" w:rsidR="001C2316" w:rsidRDefault="00000000">
      <w:pPr>
        <w:adjustRightInd w:val="0"/>
        <w:snapToGrid w:val="0"/>
        <w:spacing w:after="120" w:line="288" w:lineRule="auto"/>
        <w:ind w:firstLine="567"/>
        <w:jc w:val="both"/>
      </w:pPr>
      <w:r>
        <w:rPr>
          <w:rFonts w:cs="Times New Roman"/>
        </w:rPr>
        <w:t>c) Tính tương thích với điều ước quốc tế: Dự thảo không đặt ra quy định loại trừ nghĩa vụ của Việt Nam theo các điều ước quốc tế; việc tài trợ hướng đến nghiên cứu, phát triển công nghệ vì lợi ích công cộng, không tạo ưu đãi phân biệt đối xử theo quốc tịch của tổ chức tham gia.</w:t>
      </w:r>
    </w:p>
    <w:p w14:paraId="1FA729C2" w14:textId="77777777" w:rsidR="001C2316" w:rsidRDefault="00000000">
      <w:pPr>
        <w:adjustRightInd w:val="0"/>
        <w:snapToGrid w:val="0"/>
        <w:spacing w:after="120" w:line="288" w:lineRule="auto"/>
        <w:ind w:firstLine="567"/>
        <w:jc w:val="both"/>
      </w:pPr>
      <w:r>
        <w:rPr>
          <w:rFonts w:cs="Times New Roman"/>
        </w:rPr>
        <w:t xml:space="preserve">d) Tính khả thi và quy định chuyển tiếp: Điều 16 dự thảo xử lý đầy đủ theo 03 khoản: (i) nhiệm vụ đã được phê duyệt trước ngày Quyết định có hiệu lực tiếp tục thực hiện theo quyết định phê duyệt, hợp đồng đã ký và quy định tại thời điểm phê duyệt; (ii) nhiệm vụ chưa được phê duyệt thì cập nhật, rà soát để áp dụng phương thức khoán chi theo Quy định này; (iii) trường hợp văn bản quy phạm pháp luật được viện dẫn được sửa đổi, bổ sung, thay thế thì áp dụng theo văn bản mới, bảo đảm tính ổn định, không gây xáo trộn và không phải sửa Quyết định khi văn bản dẫn chiếu thay đổi. Về tính cấp thiết về thời gian ban hành, Luật Phát triển đô thị số 18/2026/QH16 được Quốc hội thông qua ngày 24 </w:t>
      </w:r>
      <w:r>
        <w:rPr>
          <w:rFonts w:cs="Times New Roman"/>
        </w:rPr>
        <w:lastRenderedPageBreak/>
        <w:t>tháng 8 năm 2026, có hiệu lực thi hành từ ngày 01 tháng 10 năm 2026; Điều 17 dự thảo ấn định ngày hiệu lực của Quyết định bảo đảm phù hợp, không sớm hơn thời điểm Luật có hiệu lực.</w:t>
      </w:r>
    </w:p>
    <w:p w14:paraId="6AF9B930" w14:textId="77777777" w:rsidR="001C2316" w:rsidRDefault="00000000">
      <w:pPr>
        <w:adjustRightInd w:val="0"/>
        <w:snapToGrid w:val="0"/>
        <w:spacing w:after="120" w:line="288" w:lineRule="auto"/>
        <w:ind w:firstLine="567"/>
        <w:jc w:val="both"/>
      </w:pPr>
      <w:r>
        <w:rPr>
          <w:rFonts w:cs="Times New Roman"/>
        </w:rPr>
        <w:t>2. Tác động về tổ chức bộ máy, biên chế và nguồn lực: Việc tổ chức thực hiện Quyết định được bảo đảm bằng nguồn nhân lực hiện có của Sở Khoa học và Công nghệ, các sở, ban, ngành, Ủy ban nhân dân cấp xã và các cơ quan liên quan; không làm phát sinh tổ chức bộ máy mới, không phát sinh biên chế. Kinh phí thực hiện được bố trí trong dự toán chi ngân sách Thành phố hằng năm theo phân cấp.</w:t>
      </w:r>
    </w:p>
    <w:p w14:paraId="09424BBF" w14:textId="77777777" w:rsidR="001C2316" w:rsidRDefault="00000000">
      <w:pPr>
        <w:adjustRightInd w:val="0"/>
        <w:snapToGrid w:val="0"/>
        <w:spacing w:after="120" w:line="288" w:lineRule="auto"/>
        <w:ind w:firstLine="567"/>
        <w:jc w:val="both"/>
      </w:pPr>
      <w:r>
        <w:rPr>
          <w:rFonts w:cs="Times New Roman"/>
        </w:rPr>
        <w:t>3. Tác động về thủ tục hành chính: Dự thảo không quy định thủ tục hành chính mới áp dụng đối với người dân, doanh nghiệp. Các nội dung về hồ sơ tạm ứng, thanh toán, quyết toán là quy trình nội bộ giữa cơ quan quản lý nhiệm vụ, tổ chức chủ trì và cơ quan kiểm soát chi, thuộc quan hệ hợp đồng thực hiện nhiệm vụ. Trên thực tế, dự thảo cắt giảm đáng kể thành phần hồ sơ so với hiện nay do không yêu cầu xuất trình chứng từ, hóa đơn chi tiết đối với phần kinh phí khoán.</w:t>
      </w:r>
    </w:p>
    <w:p w14:paraId="4F6081AD" w14:textId="77777777" w:rsidR="001C2316" w:rsidRDefault="00000000">
      <w:pPr>
        <w:adjustRightInd w:val="0"/>
        <w:snapToGrid w:val="0"/>
        <w:spacing w:after="120" w:line="288" w:lineRule="auto"/>
        <w:ind w:firstLine="567"/>
        <w:jc w:val="both"/>
      </w:pPr>
      <w:r>
        <w:rPr>
          <w:rFonts w:cs="Times New Roman"/>
        </w:rPr>
        <w:t>4. Tác động về giới: Đối tượng áp dụng của Quy định được xác định theo chức năng, nhiệm vụ và vai trò trong thực hiện nhiệm vụ khoa học và công nghệ, không quy định theo giới tính. Việc xác định mức thù lao, hệ số k, quyền sử dụng kinh phí khoán dư và khen thưởng dựa trên mức độ đóng góp và chất lượng sản phẩm, không phân biệt đối xử về giới. Dự thảo không có tác động tiêu cực về giới; gián tiếp góp phần tạo điều kiện thuận lợi hơn cho nhà khoa học nữ do giảm gánh nặng thủ tục hành chính.</w:t>
      </w:r>
    </w:p>
    <w:p w14:paraId="445BB8E4" w14:textId="77777777" w:rsidR="001C2316" w:rsidRDefault="00000000">
      <w:pPr>
        <w:adjustRightInd w:val="0"/>
        <w:snapToGrid w:val="0"/>
        <w:spacing w:after="120" w:line="288" w:lineRule="auto"/>
        <w:ind w:firstLine="567"/>
        <w:jc w:val="both"/>
      </w:pPr>
      <w:r>
        <w:rPr>
          <w:rFonts w:cs="Times New Roman"/>
        </w:rPr>
        <w:t>5. Tác động đối với ổn định kinh tế vĩ mô và quy luật thị trường: Kinh phí thực hiện nằm trong dự toán đã được Hội đồng nhân dân Thành phố quyết định, không làm phát sinh nguồn chi ngoài dự toán, không ảnh hưởng đến an toàn tài chính quốc gia. Việc mua sắm, thuê dịch vụ, thuê chuyên gia từ nguồn kinh phí khoán vẫn tuân thủ pháp luật về đấu thầu, giá và quản lý tài sản công ở phạm vi tương ứng, do đó không làm méo mó quan hệ thị trường. Đối với nhiệm vụ có nguồn vốn hỗn hợp, khoản 3 Điều 1 dự thảo xác định phần ngân sách Thành phố thực hiện theo Quy định này, phần đối ứng, tài trợ thực hiện theo hợp đồng và pháp luật liên quan, bảo đảm không trùng lặp nội dung chi, không méo mó quan hệ thị trường và không trùng lặp nguồn lực.</w:t>
      </w:r>
    </w:p>
    <w:p w14:paraId="0DD0E403" w14:textId="77777777" w:rsidR="001C2316" w:rsidRDefault="00000000">
      <w:pPr>
        <w:spacing w:before="120" w:after="120" w:line="288" w:lineRule="auto"/>
        <w:ind w:firstLine="567"/>
      </w:pPr>
      <w:r>
        <w:rPr>
          <w:rFonts w:cs="Times New Roman"/>
          <w:b/>
        </w:rPr>
        <w:t>IV. GIẢI PHÁP TỐI ƯU ĐƯỢC LỰA CHỌN VÀ LÝ DO</w:t>
      </w:r>
    </w:p>
    <w:p w14:paraId="21C8111F" w14:textId="77777777" w:rsidR="001C2316" w:rsidRDefault="00000000">
      <w:pPr>
        <w:adjustRightInd w:val="0"/>
        <w:snapToGrid w:val="0"/>
        <w:spacing w:after="120" w:line="288" w:lineRule="auto"/>
        <w:ind w:firstLine="567"/>
        <w:jc w:val="both"/>
      </w:pPr>
      <w:r>
        <w:rPr>
          <w:rFonts w:cs="Times New Roman"/>
        </w:rPr>
        <w:lastRenderedPageBreak/>
        <w:t>Trên cơ sở phân tích, đánh giá tác động của các giải pháp nêu trên, Sở Khoa học và Công nghệ lựa chọn Giải pháp 2 đối với cả 04 chính sách thành phần, tức ban hành Quyết định quy định khoán chi, với các lý do:</w:t>
      </w:r>
    </w:p>
    <w:p w14:paraId="1345976C" w14:textId="77777777" w:rsidR="001C2316" w:rsidRDefault="00000000">
      <w:pPr>
        <w:adjustRightInd w:val="0"/>
        <w:snapToGrid w:val="0"/>
        <w:spacing w:after="120" w:line="288" w:lineRule="auto"/>
        <w:ind w:firstLine="567"/>
        <w:jc w:val="both"/>
      </w:pPr>
      <w:r>
        <w:rPr>
          <w:rFonts w:cs="Times New Roman"/>
        </w:rPr>
        <w:t>1. Bảo đảm thi hành Luật: Thực hiện đúng nhiệm vụ lập quy được giao tại điểm a khoản 3 Điều 30 Luật Phát triển đô thị.</w:t>
      </w:r>
    </w:p>
    <w:p w14:paraId="6FCED6CF" w14:textId="77777777" w:rsidR="001C2316" w:rsidRDefault="00000000">
      <w:pPr>
        <w:adjustRightInd w:val="0"/>
        <w:snapToGrid w:val="0"/>
        <w:spacing w:after="120" w:line="288" w:lineRule="auto"/>
        <w:ind w:firstLine="567"/>
        <w:jc w:val="both"/>
      </w:pPr>
      <w:r>
        <w:rPr>
          <w:rFonts w:cs="Times New Roman"/>
        </w:rPr>
        <w:t>2. Hiệu quả vượt trội so với chi phí: Chi phí ban hành và tổ chức thực hiện không đáng kể (sử dụng bộ máy hiện có), trong khi lợi ích mang lại rõ rệt về thời gian giải ngân, chi phí tuân thủ và chất lượng sản phẩm nghiên cứu.</w:t>
      </w:r>
    </w:p>
    <w:p w14:paraId="6D13B576" w14:textId="77777777" w:rsidR="001C2316" w:rsidRDefault="00000000">
      <w:pPr>
        <w:adjustRightInd w:val="0"/>
        <w:snapToGrid w:val="0"/>
        <w:spacing w:after="120" w:line="288" w:lineRule="auto"/>
        <w:ind w:firstLine="567"/>
        <w:jc w:val="both"/>
      </w:pPr>
      <w:r>
        <w:rPr>
          <w:rFonts w:cs="Times New Roman"/>
        </w:rPr>
        <w:t>3. Kiểm soát rủi ro đầy đủ: Cơ chế hậu kiểm, hội đồng đánh giá, lưu trữ chứng từ tại đơn vị, công khai minh bạch và trách nhiệm giải trình bảo đảm không buông lỏng quản lý ngân sách.</w:t>
      </w:r>
    </w:p>
    <w:p w14:paraId="28257039" w14:textId="77777777" w:rsidR="001C2316" w:rsidRDefault="00000000">
      <w:pPr>
        <w:adjustRightInd w:val="0"/>
        <w:snapToGrid w:val="0"/>
        <w:spacing w:after="120" w:line="288" w:lineRule="auto"/>
        <w:ind w:firstLine="567"/>
        <w:jc w:val="both"/>
      </w:pPr>
      <w:r>
        <w:rPr>
          <w:rFonts w:cs="Times New Roman"/>
        </w:rPr>
        <w:t>4. Phù hợp chủ trương của Đảng: Thể chế hóa yêu cầu chấp nhận rủi ro và độ trễ trong nghiên cứu khoa học theo Nghị quyết số 57-NQ/TW.</w:t>
      </w:r>
    </w:p>
    <w:p w14:paraId="3F4EF407" w14:textId="77777777" w:rsidR="001C2316" w:rsidRDefault="00000000">
      <w:pPr>
        <w:adjustRightInd w:val="0"/>
        <w:snapToGrid w:val="0"/>
        <w:spacing w:after="120" w:line="288" w:lineRule="auto"/>
        <w:ind w:firstLine="567"/>
        <w:jc w:val="both"/>
      </w:pPr>
      <w:r>
        <w:rPr>
          <w:rFonts w:cs="Times New Roman"/>
        </w:rPr>
        <w:t>Trên đây là Báo cáo đánh giá tác động của chính sách trong dự thảo Quyết định quy định khoán chi trong thực hiện nhiệm vụ, dự án, đề án khoa học, công nghệ và đổi mới sáng tạo có sử dụng ngân sách Thành phố, Sở Khoa học và Công nghệ kính trình Ủy ban nhân dân Thành phố xem xét./.</w:t>
      </w:r>
    </w:p>
    <w:p w14:paraId="52F488A8" w14:textId="77777777" w:rsidR="001C2316" w:rsidRDefault="00000000">
      <w:pPr>
        <w:adjustRightInd w:val="0"/>
        <w:snapToGrid w:val="0"/>
        <w:spacing w:after="120" w:line="288" w:lineRule="auto"/>
        <w:ind w:firstLine="567"/>
        <w:jc w:val="both"/>
      </w:pPr>
      <w:r>
        <w:rPr>
          <w:rFonts w:cs="Times New Roman"/>
        </w:rPr>
        <w:t>Phụ lục kèm theo: Bảng định mức áp dụng hệ số k đối với nhiệm vụ khoa học và công nghệ Thành phố (theo dự thảo Quy định).</w:t>
      </w:r>
    </w:p>
    <w:p w14:paraId="0A2B8640" w14:textId="77777777" w:rsidR="001C2316" w:rsidRDefault="001C2316">
      <w:pPr>
        <w:spacing w:after="0" w:line="240" w:lineRule="auto"/>
      </w:pPr>
    </w:p>
    <w:tbl>
      <w:tblPr>
        <w:tblW w:w="9072" w:type="dxa"/>
        <w:tblLook w:val="04A0" w:firstRow="1" w:lastRow="0" w:firstColumn="1" w:lastColumn="0" w:noHBand="0" w:noVBand="1"/>
      </w:tblPr>
      <w:tblGrid>
        <w:gridCol w:w="3266"/>
        <w:gridCol w:w="5806"/>
      </w:tblGrid>
      <w:tr w:rsidR="001C2316" w14:paraId="19259192" w14:textId="77777777">
        <w:tc>
          <w:tcPr>
            <w:tcW w:w="3266" w:type="dxa"/>
          </w:tcPr>
          <w:p w14:paraId="42CA0A56" w14:textId="77777777" w:rsidR="001C2316" w:rsidRDefault="00000000">
            <w:pPr>
              <w:spacing w:after="0" w:line="240" w:lineRule="auto"/>
            </w:pPr>
            <w:r>
              <w:rPr>
                <w:rFonts w:cs="Times New Roman"/>
                <w:b/>
                <w:i/>
                <w:sz w:val="24"/>
              </w:rPr>
              <w:t>Nơi nhận:</w:t>
            </w:r>
          </w:p>
          <w:p w14:paraId="5BFB4AD9" w14:textId="77777777" w:rsidR="001C2316" w:rsidRDefault="00000000">
            <w:pPr>
              <w:spacing w:after="0" w:line="240" w:lineRule="auto"/>
            </w:pPr>
            <w:r>
              <w:rPr>
                <w:rFonts w:cs="Times New Roman"/>
                <w:sz w:val="22"/>
              </w:rPr>
              <w:t>- Như trên;</w:t>
            </w:r>
          </w:p>
          <w:p w14:paraId="52735D38" w14:textId="77777777" w:rsidR="001C2316" w:rsidRDefault="00000000">
            <w:pPr>
              <w:spacing w:after="0" w:line="240" w:lineRule="auto"/>
            </w:pPr>
            <w:r>
              <w:rPr>
                <w:rFonts w:cs="Times New Roman"/>
                <w:sz w:val="22"/>
              </w:rPr>
              <w:t>- Sở Tư pháp;</w:t>
            </w:r>
          </w:p>
          <w:p w14:paraId="2ECC06E2" w14:textId="77777777" w:rsidR="001C2316" w:rsidRDefault="00000000">
            <w:pPr>
              <w:spacing w:after="0" w:line="240" w:lineRule="auto"/>
            </w:pPr>
            <w:r>
              <w:rPr>
                <w:rFonts w:cs="Times New Roman"/>
                <w:sz w:val="22"/>
              </w:rPr>
              <w:t>- Ban Giám đốc Sở (để báo cáo);</w:t>
            </w:r>
          </w:p>
          <w:p w14:paraId="6430E843" w14:textId="77777777" w:rsidR="001C2316" w:rsidRDefault="00000000">
            <w:pPr>
              <w:spacing w:after="0" w:line="240" w:lineRule="auto"/>
            </w:pPr>
            <w:r>
              <w:rPr>
                <w:rFonts w:cs="Times New Roman"/>
                <w:sz w:val="22"/>
              </w:rPr>
              <w:t>- Lưu: VT, QLKH.</w:t>
            </w:r>
          </w:p>
        </w:tc>
        <w:tc>
          <w:tcPr>
            <w:tcW w:w="5806" w:type="dxa"/>
          </w:tcPr>
          <w:p w14:paraId="434B3C37" w14:textId="77777777" w:rsidR="001C2316" w:rsidRDefault="00000000">
            <w:pPr>
              <w:spacing w:after="0" w:line="240" w:lineRule="auto"/>
              <w:jc w:val="center"/>
            </w:pPr>
            <w:r>
              <w:rPr>
                <w:rFonts w:cs="Times New Roman"/>
                <w:b/>
                <w:sz w:val="26"/>
              </w:rPr>
              <w:t>GIÁM ĐỐC</w:t>
            </w:r>
          </w:p>
          <w:p w14:paraId="3851D6B5" w14:textId="77777777" w:rsidR="001C2316" w:rsidRDefault="001C2316">
            <w:pPr>
              <w:spacing w:after="0" w:line="240" w:lineRule="auto"/>
            </w:pPr>
          </w:p>
          <w:p w14:paraId="36A6B798" w14:textId="77777777" w:rsidR="001C2316" w:rsidRDefault="001C2316">
            <w:pPr>
              <w:spacing w:after="0" w:line="240" w:lineRule="auto"/>
            </w:pPr>
          </w:p>
          <w:p w14:paraId="34DE13E4" w14:textId="77777777" w:rsidR="001C2316" w:rsidRDefault="001C2316">
            <w:pPr>
              <w:spacing w:after="0" w:line="240" w:lineRule="auto"/>
            </w:pPr>
          </w:p>
          <w:p w14:paraId="46ADEB38" w14:textId="77777777" w:rsidR="001C2316" w:rsidRDefault="001C2316">
            <w:pPr>
              <w:spacing w:after="0" w:line="288" w:lineRule="auto"/>
              <w:jc w:val="center"/>
            </w:pPr>
          </w:p>
        </w:tc>
      </w:tr>
    </w:tbl>
    <w:p w14:paraId="514E59CA" w14:textId="77777777" w:rsidR="0053473C" w:rsidRDefault="0053473C"/>
    <w:sectPr w:rsidR="0053473C" w:rsidSect="00034616">
      <w:footerReference w:type="default" r:id="rId8"/>
      <w:pgSz w:w="11906" w:h="16838"/>
      <w:pgMar w:top="1417" w:right="1134"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4DBD8" w14:textId="77777777" w:rsidR="00B058C2" w:rsidRDefault="00B058C2">
      <w:pPr>
        <w:spacing w:after="0" w:line="240" w:lineRule="auto"/>
      </w:pPr>
      <w:r>
        <w:separator/>
      </w:r>
    </w:p>
  </w:endnote>
  <w:endnote w:type="continuationSeparator" w:id="0">
    <w:p w14:paraId="790937D2" w14:textId="77777777" w:rsidR="00B058C2" w:rsidRDefault="00B05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1C930" w14:textId="77777777" w:rsidR="001C2316" w:rsidRDefault="00000000">
    <w:pPr>
      <w:pStyle w:val="Footer"/>
      <w:jc w:val="center"/>
    </w:pPr>
    <w:r>
      <w:fldChar w:fldCharType="begin"/>
    </w:r>
    <w:r>
      <w:instrText>PAGE</w:instrText>
    </w:r>
    <w:r>
      <w:fldChar w:fldCharType="separate"/>
    </w:r>
    <w:r w:rsidR="00BB5FD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C4D32" w14:textId="77777777" w:rsidR="00B058C2" w:rsidRDefault="00B058C2">
      <w:pPr>
        <w:spacing w:after="0" w:line="240" w:lineRule="auto"/>
      </w:pPr>
      <w:r>
        <w:separator/>
      </w:r>
    </w:p>
  </w:footnote>
  <w:footnote w:type="continuationSeparator" w:id="0">
    <w:p w14:paraId="4C3D4D2F" w14:textId="77777777" w:rsidR="00B058C2" w:rsidRDefault="00B058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2104532">
    <w:abstractNumId w:val="8"/>
  </w:num>
  <w:num w:numId="2" w16cid:durableId="1424453408">
    <w:abstractNumId w:val="6"/>
  </w:num>
  <w:num w:numId="3" w16cid:durableId="1862232716">
    <w:abstractNumId w:val="5"/>
  </w:num>
  <w:num w:numId="4" w16cid:durableId="939072428">
    <w:abstractNumId w:val="4"/>
  </w:num>
  <w:num w:numId="5" w16cid:durableId="681274280">
    <w:abstractNumId w:val="7"/>
  </w:num>
  <w:num w:numId="6" w16cid:durableId="551700120">
    <w:abstractNumId w:val="3"/>
  </w:num>
  <w:num w:numId="7" w16cid:durableId="1914044636">
    <w:abstractNumId w:val="2"/>
  </w:num>
  <w:num w:numId="8" w16cid:durableId="785349965">
    <w:abstractNumId w:val="1"/>
  </w:num>
  <w:num w:numId="9" w16cid:durableId="81142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7019"/>
    <w:rsid w:val="0015074B"/>
    <w:rsid w:val="001C2316"/>
    <w:rsid w:val="0029639D"/>
    <w:rsid w:val="002F2A22"/>
    <w:rsid w:val="00326F90"/>
    <w:rsid w:val="0053473C"/>
    <w:rsid w:val="008F1452"/>
    <w:rsid w:val="00A55ED1"/>
    <w:rsid w:val="00AA1D8D"/>
    <w:rsid w:val="00B058C2"/>
    <w:rsid w:val="00B47730"/>
    <w:rsid w:val="00BB5FD3"/>
    <w:rsid w:val="00CB0664"/>
    <w:rsid w:val="00CD72BB"/>
    <w:rsid w:val="00D93A70"/>
    <w:rsid w:val="00DD70F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E40164"/>
  <w14:defaultImageDpi w14:val="300"/>
  <w15:docId w15:val="{1A317954-B92D-4230-AC8F-4C0714CC5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3343</Words>
  <Characters>19060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Thong Duong Bao</cp:lastModifiedBy>
  <cp:revision>6</cp:revision>
  <dcterms:created xsi:type="dcterms:W3CDTF">2013-12-23T23:15:00Z</dcterms:created>
  <dcterms:modified xsi:type="dcterms:W3CDTF">2026-09-15T09:22:00Z</dcterms:modified>
  <cp:category/>
</cp:coreProperties>
</file>