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4486" w:type="dxa"/>
        <w:tblInd w:w="-142" w:type="dxa"/>
        <w:tblLayout w:type="fixed"/>
        <w:tblLook w:val="04A0" w:firstRow="1" w:lastRow="0" w:firstColumn="1" w:lastColumn="0" w:noHBand="0" w:noVBand="1"/>
      </w:tblPr>
      <w:tblGrid>
        <w:gridCol w:w="6703"/>
        <w:gridCol w:w="7783"/>
      </w:tblGrid>
      <w:tr w:rsidR="008D3830" w:rsidRPr="005437ED" w14:paraId="165D0900" w14:textId="77777777">
        <w:trPr>
          <w:trHeight w:val="420"/>
        </w:trPr>
        <w:tc>
          <w:tcPr>
            <w:tcW w:w="6703" w:type="dxa"/>
            <w:vAlign w:val="center"/>
          </w:tcPr>
          <w:p w14:paraId="5BA9EC8A" w14:textId="77777777" w:rsidR="008D3830" w:rsidRPr="005437ED" w:rsidRDefault="00000000">
            <w:pPr>
              <w:widowControl w:val="0"/>
              <w:spacing w:before="120"/>
              <w:jc w:val="center"/>
              <w:rPr>
                <w:rFonts w:ascii="Times New Roman" w:hAnsi="Times New Roman" w:cs="Times New Roman"/>
                <w:sz w:val="26"/>
                <w:szCs w:val="26"/>
              </w:rPr>
            </w:pPr>
            <w:r w:rsidRPr="005437ED">
              <w:rPr>
                <w:rFonts w:ascii="Times New Roman" w:hAnsi="Times New Roman" w:cs="Times New Roman"/>
                <w:sz w:val="26"/>
                <w:szCs w:val="26"/>
              </w:rPr>
              <w:t>ỦY BAN NHÂN DÂN</w:t>
            </w:r>
          </w:p>
          <w:p w14:paraId="20E4453F" w14:textId="77777777" w:rsidR="008D3830" w:rsidRPr="005437ED" w:rsidRDefault="00000000">
            <w:pPr>
              <w:widowControl w:val="0"/>
              <w:jc w:val="center"/>
              <w:rPr>
                <w:rFonts w:ascii="Times New Roman" w:hAnsi="Times New Roman" w:cs="Times New Roman"/>
                <w:sz w:val="26"/>
                <w:szCs w:val="26"/>
              </w:rPr>
            </w:pPr>
            <w:r w:rsidRPr="005437ED">
              <w:rPr>
                <w:rFonts w:ascii="Times New Roman" w:hAnsi="Times New Roman" w:cs="Times New Roman"/>
                <w:sz w:val="26"/>
                <w:szCs w:val="26"/>
              </w:rPr>
              <w:t>THÀNH PHỐ HỒ CHÍ MINH</w:t>
            </w:r>
          </w:p>
          <w:p w14:paraId="704156ED" w14:textId="77777777" w:rsidR="008D3830" w:rsidRPr="005437ED" w:rsidRDefault="00000000">
            <w:pPr>
              <w:widowControl w:val="0"/>
              <w:jc w:val="center"/>
              <w:rPr>
                <w:rFonts w:ascii="Times New Roman" w:hAnsi="Times New Roman" w:cs="Times New Roman"/>
              </w:rPr>
            </w:pPr>
            <w:r w:rsidRPr="005437ED">
              <w:rPr>
                <w:rFonts w:ascii="Times New Roman" w:hAnsi="Times New Roman" w:cs="Times New Roman"/>
                <w:b/>
                <w:spacing w:val="-8"/>
              </w:rPr>
              <w:t>SỞ KHOA HỌC VÀ CÔNG NGHỆ</w:t>
            </w:r>
          </w:p>
        </w:tc>
        <w:tc>
          <w:tcPr>
            <w:tcW w:w="7783" w:type="dxa"/>
            <w:vAlign w:val="center"/>
          </w:tcPr>
          <w:p w14:paraId="15B0C886" w14:textId="77777777" w:rsidR="008D3830" w:rsidRPr="005437ED" w:rsidRDefault="00000000">
            <w:pPr>
              <w:widowControl w:val="0"/>
              <w:jc w:val="center"/>
              <w:rPr>
                <w:rFonts w:ascii="Times New Roman" w:hAnsi="Times New Roman" w:cs="Times New Roman"/>
                <w:b/>
                <w:spacing w:val="-12"/>
                <w:sz w:val="26"/>
                <w:szCs w:val="30"/>
              </w:rPr>
            </w:pPr>
            <w:r w:rsidRPr="005437ED">
              <w:rPr>
                <w:rFonts w:ascii="Times New Roman" w:hAnsi="Times New Roman" w:cs="Times New Roman"/>
                <w:b/>
                <w:spacing w:val="-12"/>
                <w:sz w:val="26"/>
                <w:szCs w:val="30"/>
              </w:rPr>
              <w:t>CỘNG HÒA XÃ HỘI CHỦ NGHĨA VIỆT NAM</w:t>
            </w:r>
          </w:p>
          <w:p w14:paraId="3A096B10" w14:textId="77777777" w:rsidR="008D3830" w:rsidRPr="005437ED" w:rsidRDefault="00000000">
            <w:pPr>
              <w:widowControl w:val="0"/>
              <w:jc w:val="center"/>
              <w:rPr>
                <w:rFonts w:ascii="Times New Roman" w:hAnsi="Times New Roman" w:cs="Times New Roman"/>
                <w:b/>
                <w:spacing w:val="-12"/>
              </w:rPr>
            </w:pPr>
            <w:r w:rsidRPr="005437ED">
              <w:rPr>
                <w:rFonts w:ascii="Times New Roman" w:hAnsi="Times New Roman" w:cs="Times New Roman"/>
                <w:b/>
              </w:rPr>
              <w:t>Độc lập - Tự do - Hạnh phúc</w:t>
            </w:r>
          </w:p>
        </w:tc>
      </w:tr>
      <w:tr w:rsidR="008D3830" w:rsidRPr="005437ED" w14:paraId="41D70354" w14:textId="77777777" w:rsidTr="007C36FB">
        <w:trPr>
          <w:trHeight w:val="463"/>
        </w:trPr>
        <w:tc>
          <w:tcPr>
            <w:tcW w:w="6703" w:type="dxa"/>
          </w:tcPr>
          <w:p w14:paraId="0A2F03B8" w14:textId="4C2CDA05" w:rsidR="008D3830" w:rsidRPr="005437ED" w:rsidRDefault="00000000">
            <w:pPr>
              <w:widowControl w:val="0"/>
              <w:snapToGrid w:val="0"/>
              <w:ind w:right="-144"/>
              <w:rPr>
                <w:rFonts w:ascii="Times New Roman" w:hAnsi="Times New Roman" w:cs="Times New Roman"/>
                <w:b/>
                <w:spacing w:val="-12"/>
                <w:sz w:val="10"/>
                <w:szCs w:val="10"/>
                <w:lang w:eastAsia="en-US"/>
              </w:rPr>
            </w:pPr>
            <w:r>
              <w:rPr>
                <w:noProof/>
              </w:rPr>
              <w:pict w14:anchorId="019CADDD">
                <v:line id="_x0000_s1027" style="position:absolute;z-index:2;visibility:visible;mso-wrap-style:square;mso-wrap-distance-left:9.05pt;mso-wrap-distance-top:0;mso-wrap-distance-right:9.05pt;mso-wrap-distance-bottom:0;mso-position-horizontal:absolute;mso-position-horizontal-relative:text;mso-position-vertical:absolute;mso-position-vertical-relative:text" from="80.6pt,2.15pt" to="245.2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" strokeweight=".26mm">
                  <v:stroke joinstyle="miter"/>
                </v:line>
              </w:pict>
            </w:r>
          </w:p>
          <w:p w14:paraId="48AE5E98" w14:textId="77777777" w:rsidR="008D3830" w:rsidRPr="005437ED" w:rsidRDefault="008D3830">
            <w:pPr>
              <w:widowControl w:val="0"/>
              <w:ind w:left="74"/>
              <w:jc w:val="both"/>
              <w:rPr>
                <w:rFonts w:ascii="Times New Roman" w:hAnsi="Times New Roman" w:cs="Times New Roman"/>
                <w:b/>
                <w:sz w:val="10"/>
                <w:szCs w:val="10"/>
              </w:rPr>
            </w:pPr>
          </w:p>
          <w:p w14:paraId="646FC243" w14:textId="77777777" w:rsidR="008D3830" w:rsidRPr="005437ED" w:rsidRDefault="008D3830">
            <w:pPr>
              <w:widowControl w:val="0"/>
              <w:ind w:left="74"/>
              <w:jc w:val="both"/>
              <w:rPr>
                <w:rFonts w:ascii="Times New Roman" w:hAnsi="Times New Roman" w:cs="Times New Roman"/>
                <w:b/>
                <w:sz w:val="18"/>
              </w:rPr>
            </w:pPr>
          </w:p>
        </w:tc>
        <w:tc>
          <w:tcPr>
            <w:tcW w:w="7783" w:type="dxa"/>
          </w:tcPr>
          <w:p w14:paraId="2E7C6466" w14:textId="328634E2" w:rsidR="008D3830" w:rsidRPr="005437ED" w:rsidRDefault="00000000">
            <w:pPr>
              <w:widowControl w:val="0"/>
              <w:snapToGrid w:val="0"/>
              <w:rPr>
                <w:rFonts w:ascii="Times New Roman" w:hAnsi="Times New Roman" w:cs="Times New Roman"/>
                <w:b/>
                <w:i/>
                <w:sz w:val="10"/>
                <w:szCs w:val="10"/>
                <w:lang w:eastAsia="en-US"/>
              </w:rPr>
            </w:pPr>
            <w:r>
              <w:rPr>
                <w:noProof/>
              </w:rPr>
              <w:pict w14:anchorId="3035EC5F">
                <v:line id="Line 27" o:spid="_x0000_s1026" style="position:absolute;z-index:1;visibility:visible;mso-wrap-style:square;mso-wrap-distance-left:9.05pt;mso-wrap-distance-top:0;mso-wrap-distance-right:9.05pt;mso-wrap-distance-bottom:0;mso-position-horizontal:absolute;mso-position-horizontal-relative:text;mso-position-vertical:absolute;mso-position-vertical-relative:text" from="106.45pt,2.15pt" to="271.1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" strokeweight=".26mm">
                  <v:stroke joinstyle="miter"/>
                </v:line>
              </w:pict>
            </w:r>
          </w:p>
          <w:p w14:paraId="752471A5" w14:textId="77777777" w:rsidR="008D3830" w:rsidRPr="005437ED" w:rsidRDefault="008D3830">
            <w:pPr>
              <w:widowControl w:val="0"/>
              <w:jc w:val="center"/>
              <w:rPr>
                <w:rFonts w:ascii="Times New Roman" w:hAnsi="Times New Roman" w:cs="Times New Roman"/>
                <w:i/>
                <w:sz w:val="10"/>
                <w:szCs w:val="10"/>
              </w:rPr>
            </w:pPr>
          </w:p>
          <w:p w14:paraId="1228C9EB" w14:textId="4F287FFC" w:rsidR="008D3830" w:rsidRPr="005437ED" w:rsidRDefault="00000000">
            <w:pPr>
              <w:widowControl w:val="0"/>
              <w:jc w:val="center"/>
              <w:rPr>
                <w:rFonts w:ascii="Times New Roman" w:hAnsi="Times New Roman" w:cs="Times New Roman"/>
              </w:rPr>
            </w:pPr>
            <w:r w:rsidRPr="005437ED">
              <w:rPr>
                <w:rFonts w:ascii="Times New Roman" w:hAnsi="Times New Roman" w:cs="Times New Roman"/>
                <w:i/>
              </w:rPr>
              <w:t xml:space="preserve">Thành phố Hồ Chí Minh, ngày </w:t>
            </w:r>
            <w:r w:rsidR="007C36FB">
              <w:rPr>
                <w:rFonts w:ascii="Times New Roman" w:hAnsi="Times New Roman" w:cs="Times New Roman"/>
                <w:i/>
              </w:rPr>
              <w:t>30</w:t>
            </w:r>
            <w:r w:rsidRPr="005437ED">
              <w:rPr>
                <w:rFonts w:ascii="Times New Roman" w:hAnsi="Times New Roman" w:cs="Times New Roman"/>
                <w:i/>
              </w:rPr>
              <w:t xml:space="preserve"> tháng </w:t>
            </w:r>
            <w:r w:rsidR="002F080B">
              <w:rPr>
                <w:rFonts w:ascii="Times New Roman" w:hAnsi="Times New Roman" w:cs="Times New Roman"/>
                <w:i/>
              </w:rPr>
              <w:t>9</w:t>
            </w:r>
            <w:r w:rsidRPr="005437ED">
              <w:rPr>
                <w:rFonts w:ascii="Times New Roman" w:hAnsi="Times New Roman" w:cs="Times New Roman"/>
                <w:i/>
              </w:rPr>
              <w:t xml:space="preserve"> năm 2026</w:t>
            </w:r>
          </w:p>
        </w:tc>
      </w:tr>
    </w:tbl>
    <w:p w14:paraId="70A787E0" w14:textId="77777777" w:rsidR="008D3830" w:rsidRPr="005437ED" w:rsidRDefault="008D3830">
      <w:pPr>
        <w:jc w:val="center"/>
        <w:rPr>
          <w:rFonts w:ascii="Times New Roman" w:hAnsi="Times New Roman" w:cs="Times New Roman"/>
          <w:b/>
        </w:rPr>
      </w:pPr>
    </w:p>
    <w:p w14:paraId="66149ED3" w14:textId="77777777" w:rsidR="008D3830" w:rsidRPr="005437ED" w:rsidRDefault="00000000">
      <w:pPr>
        <w:jc w:val="center"/>
        <w:rPr>
          <w:rFonts w:ascii="Times New Roman" w:hAnsi="Times New Roman" w:cs="Times New Roman"/>
          <w:b/>
        </w:rPr>
      </w:pPr>
      <w:r w:rsidRPr="005437ED">
        <w:rPr>
          <w:rFonts w:ascii="Times New Roman" w:hAnsi="Times New Roman" w:cs="Times New Roman"/>
          <w:b/>
        </w:rPr>
        <w:t>BẢN SO SÁNH, THUYẾT MINH</w:t>
      </w:r>
    </w:p>
    <w:p w14:paraId="401DE7A2" w14:textId="77777777" w:rsidR="008D3830" w:rsidRPr="005437ED" w:rsidRDefault="00000000">
      <w:pPr>
        <w:spacing w:after="60"/>
        <w:jc w:val="center"/>
        <w:rPr>
          <w:rFonts w:ascii="Times New Roman" w:hAnsi="Times New Roman" w:cs="Times New Roman"/>
        </w:rPr>
      </w:pPr>
      <w:r w:rsidRPr="005437ED">
        <w:rPr>
          <w:rFonts w:ascii="Times New Roman" w:hAnsi="Times New Roman" w:cs="Times New Roman"/>
          <w:b/>
          <w:bCs/>
        </w:rPr>
        <w:t xml:space="preserve">QUY ĐỊNH VỀ BẢO ĐẢM AN TOÀN, QUẢN LÝ RỦI RO, BIỆN PHÁP ỨNG DỤNG TRÍ TUỆ NHÂN TẠO </w:t>
      </w:r>
      <w:r w:rsidRPr="005437ED">
        <w:rPr>
          <w:rFonts w:ascii="Times New Roman" w:hAnsi="Times New Roman" w:cs="Times New Roman"/>
          <w:b/>
          <w:bCs/>
        </w:rPr>
        <w:br/>
        <w:t>TRONG QUẢN LÝ NHÀ NƯỚC TRÊN ĐỊA BÀN THÀNH PHỐ HỒ CHÍ MINH</w:t>
      </w:r>
    </w:p>
    <w:p w14:paraId="564C09AB" w14:textId="77777777" w:rsidR="008D3830" w:rsidRPr="005437ED" w:rsidRDefault="00000000">
      <w:pPr>
        <w:jc w:val="center"/>
        <w:rPr>
          <w:rFonts w:ascii="Times New Roman" w:eastAsia="Aptos" w:hAnsi="Times New Roman" w:cs="Times New Roman"/>
          <w:kern w:val="2"/>
          <w:lang w:val="vi-VN"/>
        </w:rPr>
      </w:pPr>
      <w:r w:rsidRPr="005437ED">
        <w:rPr>
          <w:rFonts w:ascii="Times New Roman" w:hAnsi="Times New Roman" w:cs="Times New Roman"/>
          <w:i/>
          <w:iCs/>
        </w:rPr>
        <w:t>(Thực hiện nội dung nêu tại điểm d Khoản 3 Điều 30 - Luật Phát triển đô thị)</w:t>
      </w:r>
    </w:p>
    <w:p w14:paraId="3E1BBA77" w14:textId="77777777" w:rsidR="008D3830" w:rsidRPr="005437ED" w:rsidRDefault="008D3830">
      <w:pPr>
        <w:widowControl w:val="0"/>
        <w:spacing w:before="120"/>
        <w:ind w:firstLine="720"/>
        <w:jc w:val="both"/>
        <w:rPr>
          <w:rFonts w:ascii="Times New Roman" w:eastAsia="Aptos" w:hAnsi="Times New Roman" w:cs="Times New Roman"/>
          <w:kern w:val="2"/>
          <w:sz w:val="26"/>
          <w:szCs w:val="26"/>
          <w:lang w:val="vi-VN"/>
        </w:rPr>
      </w:pPr>
    </w:p>
    <w:tbl>
      <w:tblPr>
        <w:tblW w:w="14881" w:type="dxa"/>
        <w:tblLayout w:type="fixed"/>
        <w:tblCellMar>
          <w:left w:w="10" w:type="dxa"/>
          <w:right w:w="10" w:type="dxa"/>
        </w:tblCellMar>
        <w:tblLook w:val="04A0" w:firstRow="1" w:lastRow="0" w:firstColumn="1" w:lastColumn="0" w:noHBand="0" w:noVBand="1"/>
      </w:tblPr>
      <w:tblGrid>
        <w:gridCol w:w="3340"/>
        <w:gridCol w:w="6570"/>
        <w:gridCol w:w="4971"/>
      </w:tblGrid>
      <w:tr w:rsidR="008D3830" w:rsidRPr="005437ED" w14:paraId="5ADDB565" w14:textId="77777777">
        <w:trPr>
          <w:trHeight w:val="399"/>
          <w:tblHeader/>
        </w:trPr>
        <w:tc>
          <w:tcPr>
            <w:tcW w:w="3340" w:type="dxa"/>
            <w:tcBorders>
              <w:top w:val="single" w:sz="4" w:space="0" w:color="000000"/>
              <w:left w:val="single" w:sz="4" w:space="0" w:color="000000"/>
              <w:bottom w:val="single" w:sz="4" w:space="0" w:color="000000"/>
              <w:right w:val="single" w:sz="4" w:space="0" w:color="000000"/>
            </w:tcBorders>
            <w:shd w:val="clear" w:color="auto" w:fill="A5C9EB"/>
            <w:vAlign w:val="center"/>
          </w:tcPr>
          <w:p w14:paraId="48CD3CCC" w14:textId="77777777" w:rsidR="008D3830" w:rsidRPr="005437ED" w:rsidRDefault="00000000">
            <w:pPr>
              <w:spacing w:before="120"/>
              <w:jc w:val="center"/>
              <w:rPr>
                <w:rFonts w:ascii="Times New Roman" w:hAnsi="Times New Roman" w:cs="Times New Roman"/>
                <w:sz w:val="26"/>
                <w:szCs w:val="26"/>
              </w:rPr>
            </w:pPr>
            <w:r w:rsidRPr="005437ED">
              <w:rPr>
                <w:rFonts w:ascii="Times New Roman" w:hAnsi="Times New Roman" w:cs="Times New Roman"/>
                <w:b/>
                <w:bCs/>
                <w:sz w:val="26"/>
                <w:szCs w:val="26"/>
              </w:rPr>
              <w:t>VĂN BẢN QPPL HIỆN HÀNH</w:t>
            </w:r>
          </w:p>
        </w:tc>
        <w:tc>
          <w:tcPr>
            <w:tcW w:w="6570" w:type="dxa"/>
            <w:tcBorders>
              <w:top w:val="single" w:sz="4" w:space="0" w:color="000000"/>
              <w:left w:val="single" w:sz="4" w:space="0" w:color="000000"/>
              <w:bottom w:val="single" w:sz="4" w:space="0" w:color="000000"/>
              <w:right w:val="single" w:sz="4" w:space="0" w:color="000000"/>
            </w:tcBorders>
            <w:shd w:val="clear" w:color="auto" w:fill="A5C9EB"/>
            <w:vAlign w:val="center"/>
          </w:tcPr>
          <w:p w14:paraId="04A24896" w14:textId="77777777" w:rsidR="008D3830" w:rsidRPr="005437ED" w:rsidRDefault="00000000">
            <w:pPr>
              <w:spacing w:before="120"/>
              <w:jc w:val="center"/>
              <w:rPr>
                <w:rFonts w:ascii="Times New Roman" w:hAnsi="Times New Roman" w:cs="Times New Roman"/>
                <w:sz w:val="26"/>
                <w:szCs w:val="26"/>
              </w:rPr>
            </w:pPr>
            <w:r w:rsidRPr="005437ED">
              <w:rPr>
                <w:rFonts w:ascii="Times New Roman" w:hAnsi="Times New Roman" w:cs="Times New Roman"/>
                <w:b/>
                <w:bCs/>
                <w:sz w:val="26"/>
                <w:szCs w:val="26"/>
              </w:rPr>
              <w:t>DỰ THẢO QUY ĐỊNH</w:t>
            </w:r>
          </w:p>
        </w:tc>
        <w:tc>
          <w:tcPr>
            <w:tcW w:w="4952" w:type="dxa"/>
            <w:tcBorders>
              <w:top w:val="single" w:sz="4" w:space="0" w:color="000000"/>
              <w:left w:val="single" w:sz="4" w:space="0" w:color="000000"/>
              <w:bottom w:val="single" w:sz="4" w:space="0" w:color="000000"/>
              <w:right w:val="single" w:sz="4" w:space="0" w:color="000000"/>
            </w:tcBorders>
            <w:shd w:val="clear" w:color="auto" w:fill="A5C9EB"/>
            <w:vAlign w:val="center"/>
          </w:tcPr>
          <w:p w14:paraId="60C75A3D" w14:textId="77777777" w:rsidR="008D3830" w:rsidRPr="005437ED" w:rsidRDefault="00000000">
            <w:pPr>
              <w:spacing w:before="120"/>
              <w:jc w:val="center"/>
              <w:rPr>
                <w:rFonts w:ascii="Times New Roman" w:hAnsi="Times New Roman" w:cs="Times New Roman"/>
                <w:sz w:val="26"/>
                <w:szCs w:val="26"/>
              </w:rPr>
            </w:pPr>
            <w:r w:rsidRPr="005437ED">
              <w:rPr>
                <w:rFonts w:ascii="Times New Roman" w:hAnsi="Times New Roman" w:cs="Times New Roman"/>
                <w:b/>
                <w:bCs/>
                <w:sz w:val="26"/>
                <w:szCs w:val="26"/>
              </w:rPr>
              <w:t>THUYẾT MINH</w:t>
            </w:r>
          </w:p>
        </w:tc>
      </w:tr>
      <w:tr w:rsidR="008D3830" w:rsidRPr="005437ED" w14:paraId="2CA18501" w14:textId="77777777">
        <w:tc>
          <w:tcPr>
            <w:tcW w:w="14881" w:type="dxa"/>
            <w:gridSpan w:val="3"/>
            <w:tcBorders>
              <w:top w:val="single" w:sz="4" w:space="0" w:color="000000"/>
              <w:left w:val="single" w:sz="4" w:space="0" w:color="000000"/>
              <w:bottom w:val="single" w:sz="4" w:space="0" w:color="000000"/>
              <w:right w:val="single" w:sz="4" w:space="0" w:color="000000"/>
            </w:tcBorders>
            <w:shd w:val="clear" w:color="auto" w:fill="DAE9F7"/>
            <w:tcMar>
              <w:top w:w="100" w:type="dxa"/>
              <w:left w:w="100" w:type="dxa"/>
              <w:bottom w:w="100" w:type="dxa"/>
              <w:right w:w="100" w:type="dxa"/>
            </w:tcMar>
          </w:tcPr>
          <w:p w14:paraId="0684B85D" w14:textId="77777777" w:rsidR="008D3830" w:rsidRPr="005437ED" w:rsidRDefault="00000000">
            <w:pPr>
              <w:spacing w:before="120"/>
              <w:jc w:val="center"/>
              <w:rPr>
                <w:rFonts w:ascii="Times New Roman" w:hAnsi="Times New Roman" w:cs="Times New Roman"/>
                <w:sz w:val="26"/>
                <w:szCs w:val="26"/>
              </w:rPr>
            </w:pPr>
            <w:r w:rsidRPr="005437ED">
              <w:rPr>
                <w:rFonts w:ascii="Times New Roman" w:hAnsi="Times New Roman" w:cs="Times New Roman"/>
                <w:b/>
                <w:bCs/>
                <w:sz w:val="26"/>
                <w:szCs w:val="26"/>
              </w:rPr>
              <w:t>Chương I. QUY ĐỊNH CHUNG</w:t>
            </w:r>
          </w:p>
        </w:tc>
      </w:tr>
      <w:tr w:rsidR="008D3830" w:rsidRPr="005437ED" w14:paraId="367A28D4"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B783A33" w14:textId="77777777" w:rsidR="008D3830" w:rsidRPr="005437ED" w:rsidRDefault="00000000">
            <w:pPr>
              <w:spacing w:before="120"/>
              <w:jc w:val="both"/>
              <w:rPr>
                <w:rFonts w:ascii="Times New Roman" w:hAnsi="Times New Roman" w:cs="Times New Roman"/>
                <w:i/>
                <w:iCs/>
                <w:sz w:val="26"/>
                <w:szCs w:val="26"/>
              </w:rPr>
            </w:pPr>
            <w:r w:rsidRPr="005437ED">
              <w:rPr>
                <w:rFonts w:ascii="Times New Roman" w:hAnsi="Times New Roman" w:cs="Times New Roman"/>
                <w:i/>
                <w:iCs/>
                <w:sz w:val="26"/>
                <w:szCs w:val="26"/>
              </w:rPr>
              <w:t>Điểm d Khoản 3 Điều 30 - Luật Phát triển đô thị quy định:</w:t>
            </w:r>
          </w:p>
          <w:p w14:paraId="5E5D9144" w14:textId="77777777" w:rsidR="008D3830" w:rsidRPr="005437ED" w:rsidRDefault="00000000">
            <w:pPr>
              <w:spacing w:before="120"/>
              <w:jc w:val="both"/>
              <w:rPr>
                <w:rFonts w:ascii="Times New Roman" w:hAnsi="Times New Roman" w:cs="Times New Roman"/>
                <w:i/>
                <w:sz w:val="26"/>
                <w:szCs w:val="26"/>
              </w:rPr>
            </w:pPr>
            <w:r w:rsidRPr="005437ED">
              <w:rPr>
                <w:rFonts w:ascii="Times New Roman" w:hAnsi="Times New Roman" w:cs="Times New Roman"/>
                <w:i/>
                <w:sz w:val="26"/>
                <w:szCs w:val="26"/>
              </w:rPr>
              <w:t>“</w:t>
            </w:r>
            <w:r w:rsidRPr="005437ED">
              <w:rPr>
                <w:rFonts w:ascii="Times New Roman" w:hAnsi="Times New Roman" w:cs="Times New Roman"/>
                <w:b/>
                <w:i/>
                <w:sz w:val="26"/>
                <w:szCs w:val="26"/>
              </w:rPr>
              <w:t>Điều 30. Phát triển khoa học, công nghệ, đổi mới sáng tạo và chuyển đổi số</w:t>
            </w:r>
          </w:p>
          <w:p w14:paraId="469AB645" w14:textId="77777777" w:rsidR="008D3830" w:rsidRPr="005437ED" w:rsidRDefault="00000000">
            <w:pPr>
              <w:spacing w:before="120"/>
              <w:jc w:val="both"/>
              <w:rPr>
                <w:rFonts w:ascii="Times New Roman" w:hAnsi="Times New Roman" w:cs="Times New Roman"/>
                <w:i/>
                <w:sz w:val="26"/>
                <w:szCs w:val="26"/>
              </w:rPr>
            </w:pPr>
            <w:r w:rsidRPr="005437ED">
              <w:rPr>
                <w:rFonts w:ascii="Times New Roman" w:hAnsi="Times New Roman" w:cs="Times New Roman"/>
                <w:i/>
                <w:sz w:val="26"/>
                <w:szCs w:val="26"/>
              </w:rPr>
              <w:t>…</w:t>
            </w:r>
          </w:p>
          <w:p w14:paraId="384F435E" w14:textId="77777777" w:rsidR="008D3830" w:rsidRPr="005437ED" w:rsidRDefault="00000000">
            <w:pPr>
              <w:spacing w:before="120"/>
              <w:jc w:val="both"/>
              <w:rPr>
                <w:rFonts w:ascii="Times New Roman" w:hAnsi="Times New Roman" w:cs="Times New Roman"/>
                <w:i/>
                <w:sz w:val="26"/>
                <w:szCs w:val="26"/>
              </w:rPr>
            </w:pPr>
            <w:r w:rsidRPr="005437ED">
              <w:rPr>
                <w:rFonts w:ascii="Times New Roman" w:hAnsi="Times New Roman" w:cs="Times New Roman"/>
                <w:i/>
                <w:sz w:val="26"/>
                <w:szCs w:val="26"/>
              </w:rPr>
              <w:t>3. Ủy ban nhân dân Thành phố có thẩm quyền:</w:t>
            </w:r>
          </w:p>
          <w:p w14:paraId="53D83FDE" w14:textId="77777777" w:rsidR="008D3830" w:rsidRPr="005437ED" w:rsidRDefault="00000000">
            <w:pPr>
              <w:spacing w:before="120"/>
              <w:jc w:val="both"/>
              <w:rPr>
                <w:rFonts w:ascii="Times New Roman" w:hAnsi="Times New Roman" w:cs="Times New Roman"/>
                <w:i/>
                <w:sz w:val="26"/>
                <w:szCs w:val="26"/>
              </w:rPr>
            </w:pPr>
            <w:r w:rsidRPr="005437ED">
              <w:rPr>
                <w:rFonts w:ascii="Times New Roman" w:hAnsi="Times New Roman" w:cs="Times New Roman"/>
                <w:i/>
                <w:sz w:val="26"/>
                <w:szCs w:val="26"/>
              </w:rPr>
              <w:t>…</w:t>
            </w:r>
          </w:p>
          <w:p w14:paraId="2A1715DF" w14:textId="77777777" w:rsidR="008D3830" w:rsidRPr="005437ED" w:rsidRDefault="00000000">
            <w:pPr>
              <w:spacing w:before="120"/>
              <w:jc w:val="both"/>
              <w:rPr>
                <w:rFonts w:ascii="Times New Roman" w:hAnsi="Times New Roman" w:cs="Times New Roman"/>
                <w:sz w:val="26"/>
                <w:szCs w:val="26"/>
              </w:rPr>
            </w:pPr>
            <w:r w:rsidRPr="005437ED">
              <w:rPr>
                <w:rFonts w:ascii="Times New Roman" w:hAnsi="Times New Roman" w:cs="Times New Roman"/>
                <w:i/>
                <w:sz w:val="26"/>
                <w:szCs w:val="26"/>
              </w:rPr>
              <w:t xml:space="preserve">d) Quy định về bảo đảm an toàn, quản lý rủi ro, biện pháp ứng dụng trí tuệ nhân </w:t>
            </w:r>
            <w:r w:rsidRPr="005437ED">
              <w:rPr>
                <w:rFonts w:ascii="Times New Roman" w:hAnsi="Times New Roman" w:cs="Times New Roman"/>
                <w:i/>
                <w:sz w:val="26"/>
                <w:szCs w:val="26"/>
              </w:rPr>
              <w:lastRenderedPageBreak/>
              <w:t>tạo trong quản lý nhà nước trên địa bàn Thành phố”</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2AEC6E8" w14:textId="77777777" w:rsidR="008D3830" w:rsidRPr="005437ED" w:rsidRDefault="00000000">
            <w:pPr>
              <w:spacing w:after="60"/>
              <w:rPr>
                <w:rFonts w:ascii="Times New Roman" w:hAnsi="Times New Roman" w:cs="Times New Roman"/>
              </w:rPr>
            </w:pPr>
            <w:r w:rsidRPr="005437ED">
              <w:rPr>
                <w:rFonts w:ascii="Times New Roman" w:hAnsi="Times New Roman" w:cs="Times New Roman"/>
                <w:b/>
                <w:sz w:val="26"/>
              </w:rPr>
              <w:lastRenderedPageBreak/>
              <w:t>Điều 1. Phạm vi điều chỉnh</w:t>
            </w:r>
          </w:p>
          <w:p w14:paraId="16118348"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1. Quy định về bảo đảm an toàn, quản lý rủi ro, biện pháp ứng dụng trí tuệ nhân tạo trong hoạt động quản lý nhà nước, phục vụ hoạt động quản lý nhà nước, cung cấp dịch vụ công và hoạt động công vụ trên địa bàn Thành phố Hồ Chí Minh theo điểm d khoản 3 Điều 30 Luật Phát triển đô thị số 18/2026/QH16.</w:t>
            </w:r>
          </w:p>
          <w:p w14:paraId="38E62232"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 xml:space="preserve">2. Việc phát triển, cung cấp, triển khai và sử dụng hệ thống trí tuệ nhân tạo có liên quan đến bí mật nhà nước, thông tin thuộc phạm vi bảo vệ của pháp luật về cơ yếu, quốc phòng, an ninh và các thông tin mật khác phải tuân thủ quy định của pháp luật có liên quan và quy định của cơ quan có thẩm quyền. Trường hợp pháp luật chuyên ngành có yêu cầu cao hơn về bảo đảm an toàn, bảo mật, bảo vệ dữ liệu hoặc kiểm soát truy cập thì áp dụng quy định của pháp luật chuyên </w:t>
            </w:r>
            <w:r w:rsidRPr="005437ED">
              <w:rPr>
                <w:rFonts w:ascii="Times New Roman" w:hAnsi="Times New Roman" w:cs="Times New Roman"/>
                <w:sz w:val="26"/>
              </w:rPr>
              <w:lastRenderedPageBreak/>
              <w:t>ngành.</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FBAA51D" w14:textId="77777777" w:rsidR="008D3830" w:rsidRPr="005437ED" w:rsidRDefault="00000000">
            <w:pPr>
              <w:pStyle w:val="ListParagraph"/>
              <w:numPr>
                <w:ilvl w:val="0"/>
                <w:numId w:val="16"/>
              </w:numPr>
              <w:tabs>
                <w:tab w:val="left" w:pos="364"/>
              </w:tabs>
              <w:spacing w:before="120" w:after="0" w:line="240" w:lineRule="auto"/>
              <w:ind w:left="0" w:firstLine="0"/>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lastRenderedPageBreak/>
              <w:t>Kế thừa nội dung tại Quyết định số 102/2026/QĐ-UBND ngày 21 tháng 7 năm 2026 của Ủy ban nhân dân thành phố Hà Nội.</w:t>
            </w:r>
          </w:p>
          <w:p w14:paraId="665D3847" w14:textId="77777777" w:rsidR="008D3830" w:rsidRPr="005437ED" w:rsidRDefault="00000000">
            <w:pPr>
              <w:pStyle w:val="ListParagraph"/>
              <w:numPr>
                <w:ilvl w:val="0"/>
                <w:numId w:val="16"/>
              </w:numPr>
              <w:tabs>
                <w:tab w:val="left" w:pos="364"/>
              </w:tabs>
              <w:spacing w:before="120" w:after="0" w:line="240" w:lineRule="auto"/>
              <w:ind w:left="0" w:firstLine="0"/>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 xml:space="preserve">Đồng thời phù hợp với thẩm quyền được giao tại điểm d khoản 3 Điều 30 Luật Phát triển đô thị số 18/2026/QH16 và điểm d khoản 2 Điều 30 Luật Trí tuệ nhân tạo; khoản 2 phù hợp với khoản 3 Điều 1 Nghị định số 142/2026/NĐ-CP, khoản 2 Điều 1 Luật Trí tuệ nhân tạo, khoản 10 Điều 5 Luật Bảo vệ bí mật nhà nước và khoản 2 Điều 5 Luật Giao dịch điện tử. </w:t>
            </w:r>
          </w:p>
          <w:p w14:paraId="2144E79E" w14:textId="77777777" w:rsidR="008D3830" w:rsidRPr="005437ED" w:rsidRDefault="00000000">
            <w:pPr>
              <w:pStyle w:val="ListParagraph"/>
              <w:numPr>
                <w:ilvl w:val="0"/>
                <w:numId w:val="16"/>
              </w:numPr>
              <w:tabs>
                <w:tab w:val="left" w:pos="364"/>
              </w:tabs>
              <w:spacing w:before="120" w:after="0" w:line="240" w:lineRule="auto"/>
              <w:ind w:left="0" w:firstLine="0"/>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 xml:space="preserve">Tiếp thu ý kiến thẩm định của Sở Tư pháp (Báo cáo số 12179/BC-STP ngày 18/9/2026, </w:t>
            </w:r>
            <w:r w:rsidRPr="005437ED">
              <w:rPr>
                <w:rFonts w:ascii="Times New Roman" w:eastAsia="Times New Roman;Times New Roman" w:hAnsi="Times New Roman" w:cs="Times New Roman"/>
                <w:sz w:val="26"/>
                <w:szCs w:val="26"/>
              </w:rPr>
              <w:lastRenderedPageBreak/>
              <w:t>mục 1.2): khoản 1 nêu cụ thể điểm d khoản 3 Điều 30 Luật Phát triển đô thị số 18/2026/QH16.</w:t>
            </w:r>
          </w:p>
          <w:p w14:paraId="6B765A7C" w14:textId="77777777" w:rsidR="008D3830" w:rsidRPr="005437ED" w:rsidRDefault="00000000">
            <w:pPr>
              <w:pStyle w:val="ListParagraph"/>
              <w:numPr>
                <w:ilvl w:val="0"/>
                <w:numId w:val="16"/>
              </w:numPr>
              <w:tabs>
                <w:tab w:val="left" w:pos="364"/>
              </w:tabs>
              <w:spacing w:before="120" w:after="0" w:line="240" w:lineRule="auto"/>
              <w:ind w:left="0" w:firstLine="0"/>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Tiếp thu Bản góp ý của Nhóm chuyên môn – Trường Đại học Luật Thành phố Hồ Chí Minh (mục 2, đoạn 1): khoản 2 quy định đầy đủ việc tuân thủ pháp luật có liên quan đối với hệ thống trí tuệ nhân tạo có liên quan đến bí mật nhà nước, cơ yếu, quốc phòng, an ninh và nguyên tắc áp dụng pháp luật chuyên ngành có yêu cầu cao hơn.</w:t>
            </w:r>
          </w:p>
        </w:tc>
      </w:tr>
      <w:tr w:rsidR="008D3830" w:rsidRPr="005437ED" w14:paraId="52B8980E"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77D2882" w14:textId="77777777" w:rsidR="008D3830" w:rsidRPr="005437ED" w:rsidRDefault="00000000">
            <w:pPr>
              <w:pStyle w:val="ListParagraph"/>
              <w:numPr>
                <w:ilvl w:val="0"/>
                <w:numId w:val="13"/>
              </w:numPr>
              <w:tabs>
                <w:tab w:val="left" w:pos="176"/>
              </w:tabs>
              <w:spacing w:before="120" w:after="0" w:line="240" w:lineRule="auto"/>
              <w:ind w:left="0" w:firstLine="0"/>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lastRenderedPageBreak/>
              <w:t xml:space="preserve">Điểm d khoản 3 Điều 30 Luật Phát triển đô thị số 18/2026/QH16; </w:t>
            </w:r>
          </w:p>
          <w:p w14:paraId="6787AE62" w14:textId="77777777" w:rsidR="008D3830" w:rsidRPr="005437ED" w:rsidRDefault="00000000">
            <w:pPr>
              <w:pStyle w:val="ListParagraph"/>
              <w:numPr>
                <w:ilvl w:val="0"/>
                <w:numId w:val="13"/>
              </w:numPr>
              <w:tabs>
                <w:tab w:val="left" w:pos="176"/>
              </w:tabs>
              <w:spacing w:before="120" w:after="0" w:line="240" w:lineRule="auto"/>
              <w:ind w:left="0" w:firstLine="0"/>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điểm d khoản 2 Điều 30 Luật Trí tuệ nhân tạo số 134/2025/QH15 “d) Ủy ban nhân dân cấp tỉnh thực hiện quản lý nhà nước về trí tuệ nhân tạo tại địa phương.”</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B39D76B" w14:textId="77777777" w:rsidR="008D3830" w:rsidRPr="005437ED" w:rsidRDefault="00000000">
            <w:pPr>
              <w:spacing w:after="60"/>
              <w:rPr>
                <w:rFonts w:ascii="Times New Roman" w:hAnsi="Times New Roman" w:cs="Times New Roman"/>
              </w:rPr>
            </w:pPr>
            <w:r w:rsidRPr="005437ED">
              <w:rPr>
                <w:rFonts w:ascii="Times New Roman" w:hAnsi="Times New Roman" w:cs="Times New Roman"/>
                <w:b/>
                <w:sz w:val="26"/>
              </w:rPr>
              <w:t>Điều 2. Đối tượng áp dụng</w:t>
            </w:r>
          </w:p>
          <w:p w14:paraId="5509FA56"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1. Quy định này áp dụng đối với:</w:t>
            </w:r>
          </w:p>
          <w:p w14:paraId="7AD5A69B"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a) Các cơ quan, đơn vị thuộc Ủy ban nhân dân Thành phố Hồ Chí Minh, Ủy ban nhân dân phường, xã, đặc khu (sau đây gọi chung là cơ quan, đơn vị thuộc Thành phố);</w:t>
            </w:r>
          </w:p>
          <w:p w14:paraId="716581B1"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b) Cán bộ, công chức, viên chức, người lao động và cá nhân được giao nhiệm vụ sử dụng, quản lý, vận hành hoặc giám sát hệ thống trí tuệ nhân tạo tại các cơ quan, đơn vị quy định tại điểm a khoản này;</w:t>
            </w:r>
          </w:p>
          <w:p w14:paraId="5E2D4707"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c) Nhà phát triển, nhà cung cấp, bên triển khai, đơn vị vận hành và tổ chức, cá nhân khác có quan hệ trực tiếp trong việc cung cấp, phát triển, tích hợp, triển khai, vận hành, bảo trì, kiểm thử, đánh giá hoặc cung cấp dịch vụ liên quan đến hệ thống trí tuệ nhân tạo cho các cơ quan, đơn vị quy định tại điểm a khoản này.</w:t>
            </w:r>
          </w:p>
          <w:p w14:paraId="0A0ACEC2"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 xml:space="preserve">2. Trường hợp hệ thống trí tuệ nhân tạo dùng chung có liên </w:t>
            </w:r>
            <w:r w:rsidRPr="005437ED">
              <w:rPr>
                <w:rFonts w:ascii="Times New Roman" w:hAnsi="Times New Roman" w:cs="Times New Roman"/>
                <w:sz w:val="26"/>
              </w:rPr>
              <w:lastRenderedPageBreak/>
              <w:t>quan đến cơ quan, tổ chức ngoài phạm vi quản lý của Ủy ban nhân dân Thành phố, việc phối hợp quản lý, vận hành và bảo đảm an toàn thực hiện theo thỏa thuận, quy chế phối hợp hoặc quy định của cơ quan có thẩm quyền, bảo đảm tuân thủ pháp luật có liên quan.</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BAA9B94" w14:textId="77777777" w:rsidR="008D3830" w:rsidRPr="005437ED" w:rsidRDefault="00000000">
            <w:pPr>
              <w:pStyle w:val="ListParagraph"/>
              <w:numPr>
                <w:ilvl w:val="0"/>
                <w:numId w:val="13"/>
              </w:numPr>
              <w:tabs>
                <w:tab w:val="left" w:pos="167"/>
              </w:tabs>
              <w:spacing w:before="120" w:after="0" w:line="240" w:lineRule="auto"/>
              <w:ind w:left="-13" w:firstLine="13"/>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lastRenderedPageBreak/>
              <w:t>Kế thừa nhóm đối tượng cơ bản của Quyết định số 102/2026/QĐ-UBND ngày 21 tháng 7 năm 2026 của Ủy ban nhân dân thành phố Hà Nội.</w:t>
            </w:r>
          </w:p>
          <w:p w14:paraId="3B1F51F6" w14:textId="77777777" w:rsidR="008D3830" w:rsidRPr="005437ED" w:rsidRDefault="00000000">
            <w:pPr>
              <w:pStyle w:val="ListParagraph"/>
              <w:numPr>
                <w:ilvl w:val="0"/>
                <w:numId w:val="13"/>
              </w:numPr>
              <w:tabs>
                <w:tab w:val="left" w:pos="167"/>
              </w:tabs>
              <w:spacing w:before="120" w:after="0" w:line="240" w:lineRule="auto"/>
              <w:ind w:left="-13" w:firstLine="13"/>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Phù hợp thẩm quyền quản lý nhà nước về trí tuệ nhân tạo tại địa phương được giao tại điểm d khoản 3 Điều 30 Luật Phát triển đô thị và điểm d khoản 2 Điều 30 Luật Trí tuệ nhân tạo, phù hợp với nguyên tắc chính quyền địa phương chỉ quy định phạm vi áp dụng trong giới hạn thẩm quyền quản lý nhà nước được giao.</w:t>
            </w:r>
          </w:p>
          <w:p w14:paraId="3B981200" w14:textId="77777777" w:rsidR="008D3830" w:rsidRPr="005437ED" w:rsidRDefault="00000000">
            <w:pPr>
              <w:pStyle w:val="ListParagraph"/>
              <w:numPr>
                <w:ilvl w:val="0"/>
                <w:numId w:val="13"/>
              </w:numPr>
              <w:tabs>
                <w:tab w:val="left" w:pos="167"/>
              </w:tabs>
              <w:spacing w:before="120" w:after="0" w:line="240" w:lineRule="auto"/>
              <w:ind w:left="-13" w:firstLine="13"/>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Tiếp thu ý kiến thẩm định của Sở Tư pháp (Báo cáo số 12179/BC-STP ngày 18/9/2026, mục 1.2): xác định đối tượng áp dụng gồm cơ </w:t>
            </w:r>
            <w:r w:rsidRPr="005437ED">
              <w:rPr>
                <w:rFonts w:ascii="Times New Roman" w:eastAsia="Times New Roman;Times New Roman" w:hAnsi="Times New Roman" w:cs="Times New Roman"/>
                <w:sz w:val="26"/>
                <w:szCs w:val="26"/>
              </w:rPr>
              <w:lastRenderedPageBreak/>
              <w:t>quan, đơn vị thuộc Ủy ban nhân dân Thành phố, Ủy ban nhân dân phường, xã, đặc khu và tổ chức, doanh nghiệp, cá nhân có quan hệ trực tiếp trong việc cung cấp, phát triển, tích hợp, vận hành, sử dụng hệ thống trí tuệ nhân tạo phục vụ hoạt động quản lý nhà nước.</w:t>
            </w:r>
          </w:p>
          <w:p w14:paraId="53F7565A" w14:textId="77777777" w:rsidR="008D3830" w:rsidRPr="005437ED" w:rsidRDefault="00000000">
            <w:pPr>
              <w:pStyle w:val="ListParagraph"/>
              <w:numPr>
                <w:ilvl w:val="0"/>
                <w:numId w:val="13"/>
              </w:numPr>
              <w:tabs>
                <w:tab w:val="left" w:pos="167"/>
              </w:tabs>
              <w:spacing w:before="120" w:after="0" w:line="240" w:lineRule="auto"/>
              <w:ind w:left="-13" w:firstLine="13"/>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Tiếp thu Bản góp ý của Nhóm chuyên môn – Trường Đại học Luật Thành phố Hồ Chí Minh (mục 2, đoạn 2, đoạn 3): khoản 1 cơ cấu thành 03 nhóm đối tượng (điểm a, b, c); khoản 2 thay cụm từ “khuyến khích” bằng cơ chế phối hợp.</w:t>
            </w:r>
          </w:p>
        </w:tc>
      </w:tr>
      <w:tr w:rsidR="008D3830" w:rsidRPr="005437ED" w14:paraId="3B0CB52E"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EAE375E" w14:textId="77777777" w:rsidR="008D3830" w:rsidRPr="005437ED" w:rsidRDefault="00000000">
            <w:pPr>
              <w:pStyle w:val="ListParagraph"/>
              <w:numPr>
                <w:ilvl w:val="0"/>
                <w:numId w:val="13"/>
              </w:numPr>
              <w:tabs>
                <w:tab w:val="left" w:pos="176"/>
              </w:tabs>
              <w:spacing w:before="120" w:after="0" w:line="240" w:lineRule="auto"/>
              <w:ind w:left="0" w:firstLine="0"/>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lastRenderedPageBreak/>
              <w:t>Khoản 8 Điều 2 Luật An ninh mạng số 116/2025/QH15.</w:t>
            </w:r>
          </w:p>
          <w:p w14:paraId="4C8EC24D" w14:textId="77777777" w:rsidR="008D3830" w:rsidRPr="005437ED" w:rsidRDefault="00000000">
            <w:pPr>
              <w:pStyle w:val="ListParagraph"/>
              <w:numPr>
                <w:ilvl w:val="0"/>
                <w:numId w:val="13"/>
              </w:numPr>
              <w:tabs>
                <w:tab w:val="left" w:pos="176"/>
              </w:tabs>
              <w:spacing w:before="120" w:after="0" w:line="240" w:lineRule="auto"/>
              <w:ind w:left="0" w:firstLine="0"/>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Điều 3, khoản 1 Điều 18 Luật Trí tuệ nhân tạo số 134/2025/QH15; </w:t>
            </w:r>
          </w:p>
          <w:p w14:paraId="1BC0E3CF" w14:textId="77777777" w:rsidR="008D3830" w:rsidRPr="005437ED" w:rsidRDefault="00000000">
            <w:pPr>
              <w:pStyle w:val="ListParagraph"/>
              <w:numPr>
                <w:ilvl w:val="0"/>
                <w:numId w:val="13"/>
              </w:numPr>
              <w:tabs>
                <w:tab w:val="left" w:pos="176"/>
              </w:tabs>
              <w:spacing w:before="120" w:after="0" w:line="240" w:lineRule="auto"/>
              <w:ind w:left="0" w:firstLine="0"/>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Điều 3 Luật Dữ liệu số 60/2024/QH15; </w:t>
            </w:r>
          </w:p>
          <w:p w14:paraId="51F03BE3" w14:textId="77777777" w:rsidR="008D3830" w:rsidRPr="005437ED" w:rsidRDefault="00000000">
            <w:pPr>
              <w:pStyle w:val="ListParagraph"/>
              <w:numPr>
                <w:ilvl w:val="0"/>
                <w:numId w:val="13"/>
              </w:numPr>
              <w:tabs>
                <w:tab w:val="left" w:pos="176"/>
              </w:tabs>
              <w:spacing w:before="120" w:after="0" w:line="240" w:lineRule="auto"/>
              <w:ind w:left="0" w:firstLine="0"/>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Nghị định số 142/2026/NĐ-CP ngày 30 tháng 4 năm 2026.</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8365C71" w14:textId="77777777" w:rsidR="008D3830" w:rsidRPr="005437ED" w:rsidRDefault="00000000">
            <w:pPr>
              <w:spacing w:after="60"/>
              <w:rPr>
                <w:rFonts w:ascii="Times New Roman" w:hAnsi="Times New Roman" w:cs="Times New Roman"/>
              </w:rPr>
            </w:pPr>
            <w:r w:rsidRPr="005437ED">
              <w:rPr>
                <w:rFonts w:ascii="Times New Roman" w:hAnsi="Times New Roman" w:cs="Times New Roman"/>
                <w:b/>
                <w:sz w:val="26"/>
              </w:rPr>
              <w:t>Điều 3. Giải thích từ ngữ</w:t>
            </w:r>
          </w:p>
          <w:p w14:paraId="288520E3"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1. Các thuật ngữ sử dụng trong Quy định này được hiểu theo Luật Trí tuệ nhân tạo số 134/2025/QH15, Luật An ninh mạng số 116/2025/QH15, Luật Dữ liệu số 60/2024/QH15, Nghị định số 142/2026/NĐ-CP ngày 30 tháng 4 năm 2026 của Chính phủ quy định chi tiết một số điều và biện pháp để tổ chức, hướng dẫn thi hành Luật Trí tuệ nhân tạo.</w:t>
            </w:r>
          </w:p>
          <w:p w14:paraId="164B6308"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2. Trong Quy định này, các từ ngữ dưới đây được hiểu như sau:</w:t>
            </w:r>
          </w:p>
          <w:p w14:paraId="6522F715"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a) Chủ quản hệ thống thông tin được quy định tại khoản 8 Điều 2 Luật An ninh mạng số 116/2025/QH15.</w:t>
            </w:r>
          </w:p>
          <w:p w14:paraId="096DBDEB"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 xml:space="preserve">b) Chủ quản hệ thống trí tuệ nhân tạo là cơ quan, tổ chức, cá nhân có thẩm quyền quyết định đầu tư, quản lý hệ thống trí tuệ nhân tạo. Việc xác định chủ quản hệ thống trí tuệ nhân tạo là phân công quản lý nội bộ của Thành phố; không thay </w:t>
            </w:r>
            <w:r w:rsidRPr="005437ED">
              <w:rPr>
                <w:rFonts w:ascii="Times New Roman" w:hAnsi="Times New Roman" w:cs="Times New Roman"/>
                <w:sz w:val="26"/>
              </w:rPr>
              <w:lastRenderedPageBreak/>
              <w:t>thế tư cách nhà cung cấp, bên triển khai và nghĩa vụ tương ứng theo quy định của Luật Trí tuệ nhân tạo.</w:t>
            </w:r>
          </w:p>
          <w:p w14:paraId="521B9951"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c) Đơn vị vận hành hệ thống trí tuệ nhân tạo là cơ quan, tổ chức được chủ quản hệ thống trí tuệ nhân tạo giao nhiệm vụ vận hành hệ thống trí tuệ nhân tạo. Trong trường hợp thuê dịch vụ công nghệ thông tin, đơn vị cung cấp dịch vụ theo quy định của pháp luật là đơn vị vận hành. Trường hợp hết thời hạn cung cấp dịch vụ, đơn vị chủ trì thuê dịch vụ chỉ được xác định là đơn vị vận hành khi có đủ quyền sử dụng và khả năng vận hành, bảo trì hệ thống; trường hợp không đủ điều kiện thì chấm dứt sử dụng hệ thống.</w:t>
            </w:r>
          </w:p>
          <w:p w14:paraId="07D59411"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d) Trí tuệ nhân tạo mã nguồn mở là mô hình, thành phần phần mềm, thư viện, bộ công cụ, mã nguồn hoặc thành phần kỹ thuật phục vụ trí tuệ nhân tạo được công bố để tổ chức, cá nhân có thể truy cập, sử dụng, sao chép, sửa đổi hoặc phân phối lại theo điều kiện của giấy phép nguồn mở hợp pháp. Mô hình chỉ công bố trọng số kèm giấy phép có điều kiện hạn chế sử dụng không được xác định là trí tuệ nhân tạo mã nguồn mở; việc sử dụng mô hình này thực hiện theo điều kiện của giấy phép tương ứng.</w:t>
            </w:r>
          </w:p>
          <w:p w14:paraId="279E0946"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đ) Tác nhân trí tuệ nhân tạo là hệ thống trí tuệ nhân tạo hoặc chức năng của hệ thống trí tuệ nhân tạo có khả năng, trên cơ sở mục tiêu, nhiệm vụ hoặc ràng buộc do con người thiết lập, tự động thực hiện một hoặc nhiều bước xử lý, gọi công cụ, truy cập giao diện lập trình ứng dụng, tương tác với hệ thống thông tin, cơ sở dữ liệu, nền tảng số hoặc dịch vụ số khác trong phạm vi được phép.</w:t>
            </w:r>
          </w:p>
          <w:p w14:paraId="74D685A3"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 xml:space="preserve">e) Trí tuệ nhân tạo tạo sinh là một lĩnh vực thuộc trí tuệ nhân </w:t>
            </w:r>
            <w:r w:rsidRPr="005437ED">
              <w:rPr>
                <w:rFonts w:ascii="Times New Roman" w:hAnsi="Times New Roman" w:cs="Times New Roman"/>
                <w:sz w:val="26"/>
              </w:rPr>
              <w:lastRenderedPageBreak/>
              <w:t>tạo tập trung vào việc tạo ra dữ liệu mới, có thể là văn bản, hình ảnh, âm thanh, video hoặc mã nguồn lập trình dựa trên dữ liệu đầu vào đã được huấn luyện trước đó.</w:t>
            </w:r>
          </w:p>
          <w:p w14:paraId="64D1BBCB"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g) Hệ thống trí tuệ nhân tạo trong hoạt động công vụ là hệ thống trí tuệ nhân tạo được cơ quan, đơn vị thuộc Ủy ban nhân dân Thành phố sử dụng để hỗ trợ thực hiện chức năng, nhiệm vụ quản lý nhà nước, giải quyết thủ tục hành chính, cung cấp dịch vụ công và hoạt động công vụ trên địa bàn Thành phố.</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D1E4511" w14:textId="77777777" w:rsidR="008D3830" w:rsidRPr="005437ED" w:rsidRDefault="00000000">
            <w:pPr>
              <w:pStyle w:val="ListParagraph"/>
              <w:numPr>
                <w:ilvl w:val="0"/>
                <w:numId w:val="13"/>
              </w:numPr>
              <w:tabs>
                <w:tab w:val="left" w:pos="167"/>
              </w:tabs>
              <w:spacing w:before="120" w:after="0" w:line="240" w:lineRule="auto"/>
              <w:ind w:left="-13" w:firstLine="13"/>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lastRenderedPageBreak/>
              <w:t>Kế thừa cơ bản nội dung của Quyết định số 102/2026/QĐ-UBND ngày 21 tháng 7 năm 2026 của Ủy ban nhân dân thành phố Hà Nội.</w:t>
            </w:r>
          </w:p>
          <w:p w14:paraId="6D4C93B6" w14:textId="77777777" w:rsidR="008D3830" w:rsidRPr="005437ED" w:rsidRDefault="00000000">
            <w:pPr>
              <w:pStyle w:val="ListParagraph"/>
              <w:numPr>
                <w:ilvl w:val="0"/>
                <w:numId w:val="13"/>
              </w:numPr>
              <w:tabs>
                <w:tab w:val="left" w:pos="167"/>
              </w:tabs>
              <w:spacing w:before="120" w:after="0" w:line="240" w:lineRule="auto"/>
              <w:ind w:left="-13" w:firstLine="13"/>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Đồng thời, các nội dung tại Điều này được xây dựng trên cơ sở quy định tại khoản 8 Điều 2 Luật An ninh mạng; các khái niệm kỹ thuật chuyên ngành, thống nhất về mặt khái niệm với Điều 3 và khoản 1 Điều 18 Luật Trí tuệ nhân tạo. </w:t>
            </w:r>
          </w:p>
          <w:p w14:paraId="2DCB9498" w14:textId="77777777" w:rsidR="008D3830" w:rsidRPr="005437ED" w:rsidRDefault="00000000">
            <w:pPr>
              <w:pStyle w:val="ListParagraph"/>
              <w:numPr>
                <w:ilvl w:val="0"/>
                <w:numId w:val="13"/>
              </w:numPr>
              <w:tabs>
                <w:tab w:val="left" w:pos="167"/>
              </w:tabs>
              <w:spacing w:before="120" w:after="0" w:line="240" w:lineRule="auto"/>
              <w:ind w:left="-13" w:firstLine="13"/>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Tiếp thu ý kiến thẩm định của Sở Tư pháp (Báo cáo số 12179/BC-STP ngày 18/9/2026, mục 8.1): thống nhất thuật ngữ “trí tuệ nhân tạo”, “hệ thống trí tuệ nhân tạo”, “tác nhân trí tuệ nhân tạo”, bỏ các cách viết tắt, tiếng Anh; </w:t>
            </w:r>
            <w:r w:rsidRPr="005437ED">
              <w:rPr>
                <w:rFonts w:ascii="Times New Roman" w:eastAsia="Times New Roman;Times New Roman" w:hAnsi="Times New Roman" w:cs="Times New Roman"/>
                <w:sz w:val="26"/>
                <w:szCs w:val="26"/>
              </w:rPr>
              <w:lastRenderedPageBreak/>
              <w:t>viện dẫn đầy đủ số, ký hiệu văn bản.</w:t>
            </w:r>
          </w:p>
          <w:p w14:paraId="76105F36" w14:textId="77777777" w:rsidR="008D3830" w:rsidRPr="005437ED" w:rsidRDefault="00000000">
            <w:pPr>
              <w:pStyle w:val="ListParagraph"/>
              <w:numPr>
                <w:ilvl w:val="0"/>
                <w:numId w:val="13"/>
              </w:numPr>
              <w:tabs>
                <w:tab w:val="left" w:pos="167"/>
              </w:tabs>
              <w:spacing w:before="120" w:after="0" w:line="240" w:lineRule="auto"/>
              <w:ind w:left="-13" w:firstLine="13"/>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Tiếp thu ý kiến tham vấn của Bộ Khoa học và Công nghệ (Công văn số 6955/BKHCN-PC ngày 10/9/2026): điểm d khoản 2 xác định trí tuệ nhân tạo mã nguồn mở là thành phần kỹ thuật, không hình thành loại hệ thống riêng.</w:t>
            </w:r>
          </w:p>
          <w:p w14:paraId="6D218C35" w14:textId="77777777" w:rsidR="008D3830" w:rsidRPr="005437ED" w:rsidRDefault="00000000">
            <w:pPr>
              <w:pStyle w:val="ListParagraph"/>
              <w:numPr>
                <w:ilvl w:val="0"/>
                <w:numId w:val="13"/>
              </w:numPr>
              <w:tabs>
                <w:tab w:val="left" w:pos="167"/>
              </w:tabs>
              <w:spacing w:before="120" w:after="0" w:line="240" w:lineRule="auto"/>
              <w:ind w:left="-13" w:firstLine="13"/>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Tiếp thu Bản góp ý của Nhóm chuyên môn – Trường Đại học Luật Thành phố Hồ Chí Minh (mục 2, đoạn 4, 5, 6): điểm b khoản 2 xác định chủ quản hệ thống trí tuệ nhân tạo là phân công quản lý nội bộ; điểm c sửa điều kiện xác định đơn vị vận hành khi hết hợp đồng thuê dịch vụ; điểm d bổ sung trường hợp mô hình chỉ công bố trọng số kèm giấy phép có điều kiện hạn chế sử dụng.</w:t>
            </w:r>
          </w:p>
        </w:tc>
      </w:tr>
      <w:tr w:rsidR="008D3830" w:rsidRPr="005437ED" w14:paraId="3A831500" w14:textId="77777777">
        <w:trPr>
          <w:trHeight w:val="436"/>
        </w:trPr>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18F7D26" w14:textId="77777777" w:rsidR="008D3830" w:rsidRPr="005437ED" w:rsidRDefault="00000000">
            <w:pPr>
              <w:pStyle w:val="ListParagraph"/>
              <w:numPr>
                <w:ilvl w:val="0"/>
                <w:numId w:val="13"/>
              </w:numPr>
              <w:tabs>
                <w:tab w:val="left" w:pos="170"/>
              </w:tabs>
              <w:spacing w:before="120" w:after="0" w:line="240" w:lineRule="auto"/>
              <w:ind w:left="0" w:hanging="10"/>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lastRenderedPageBreak/>
              <w:t>Điều 7 Luật Trí tuệ nhân tạo số 134/2025/QH15.</w:t>
            </w:r>
          </w:p>
          <w:p w14:paraId="28C11A09" w14:textId="77777777" w:rsidR="008D3830" w:rsidRPr="005437ED" w:rsidRDefault="00000000">
            <w:pPr>
              <w:pStyle w:val="ListParagraph"/>
              <w:numPr>
                <w:ilvl w:val="0"/>
                <w:numId w:val="13"/>
              </w:numPr>
              <w:tabs>
                <w:tab w:val="left" w:pos="170"/>
              </w:tabs>
              <w:spacing w:before="120" w:after="0" w:line="240" w:lineRule="auto"/>
              <w:ind w:left="0" w:hanging="10"/>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Điều 7 Luật An ninh mạng số 116/2025/QH15.</w:t>
            </w:r>
          </w:p>
          <w:p w14:paraId="13108F3C" w14:textId="77777777" w:rsidR="008D3830" w:rsidRPr="005437ED" w:rsidRDefault="00000000">
            <w:pPr>
              <w:pStyle w:val="ListParagraph"/>
              <w:numPr>
                <w:ilvl w:val="0"/>
                <w:numId w:val="13"/>
              </w:numPr>
              <w:tabs>
                <w:tab w:val="left" w:pos="170"/>
              </w:tabs>
              <w:spacing w:before="120" w:after="0" w:line="240" w:lineRule="auto"/>
              <w:ind w:left="0" w:hanging="10"/>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Điều 10 Luật Dữ liệu số 60/2024/QH15.</w:t>
            </w:r>
          </w:p>
          <w:p w14:paraId="7D539A9A" w14:textId="77777777" w:rsidR="008D3830" w:rsidRPr="005437ED" w:rsidRDefault="00000000">
            <w:pPr>
              <w:pStyle w:val="ListParagraph"/>
              <w:numPr>
                <w:ilvl w:val="0"/>
                <w:numId w:val="13"/>
              </w:numPr>
              <w:tabs>
                <w:tab w:val="left" w:pos="170"/>
              </w:tabs>
              <w:spacing w:before="120" w:after="0" w:line="240" w:lineRule="auto"/>
              <w:ind w:left="0" w:hanging="10"/>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 xml:space="preserve">Khoản 2 Điều 27 và Điều 11 Luật Trí tuệ nhân tạo số 134/2025/QH15 </w:t>
            </w:r>
          </w:p>
          <w:p w14:paraId="0B5F13CA" w14:textId="77777777" w:rsidR="008D3830" w:rsidRPr="005437ED" w:rsidRDefault="00000000">
            <w:pPr>
              <w:pStyle w:val="ListParagraph"/>
              <w:numPr>
                <w:ilvl w:val="0"/>
                <w:numId w:val="13"/>
              </w:numPr>
              <w:tabs>
                <w:tab w:val="left" w:pos="170"/>
              </w:tabs>
              <w:spacing w:before="120" w:after="0" w:line="240" w:lineRule="auto"/>
              <w:ind w:left="0" w:hanging="10"/>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Khoản 10 Điều 5 Luật Bảo vệ bí mật nhà nước số 117/2025/QH15.</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986DA03" w14:textId="77777777" w:rsidR="008D3830" w:rsidRPr="005437ED" w:rsidRDefault="00000000">
            <w:pPr>
              <w:spacing w:after="60"/>
              <w:rPr>
                <w:rFonts w:ascii="Times New Roman" w:hAnsi="Times New Roman" w:cs="Times New Roman"/>
              </w:rPr>
            </w:pPr>
            <w:r w:rsidRPr="005437ED">
              <w:rPr>
                <w:rFonts w:ascii="Times New Roman" w:hAnsi="Times New Roman" w:cs="Times New Roman"/>
                <w:b/>
                <w:sz w:val="26"/>
              </w:rPr>
              <w:t>Điều 4. Các hành vi bị nghiêm cấm và hành vi không được thực hiện trong hoạt động công vụ</w:t>
            </w:r>
          </w:p>
          <w:p w14:paraId="256696AF"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1. Các hành vi bị nghiêm cấm trong hoạt động trí tuệ nhân tạo thực hiện theo quy định của pháp luật về trí tuệ nhân tạo, an ninh mạng, dữ liệu và pháp luật có liên quan.</w:t>
            </w:r>
          </w:p>
          <w:p w14:paraId="6BAF7922"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2. Trong hoạt động công vụ và trong quá trình cung cấp, triển khai, vận hành hệ thống trí tuệ nhân tạo cho cơ quan nhà nước thuộc Thành phố, các cơ quan, tổ chức, cá nhân không được thực hiện các hành vi sau đây:</w:t>
            </w:r>
          </w:p>
          <w:p w14:paraId="45C70B15"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a) Sử dụng hệ thống trí tuệ nhân tạo vượt quá mục đích, phạm vi, thẩm quyền được giao hoặc khi chưa có căn cứ pháp lý, quy trình nghiệp vụ được phê duyệt.</w:t>
            </w:r>
          </w:p>
          <w:p w14:paraId="0000F6AE"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b) Đưa vào hệ thống trí tuệ nhân tạo dữ liệu không thuộc phạm vi dữ liệu được phép xử lý, sử dụng hoặc chia sẻ theo quy định của pháp luật, quy chế quản trị dữ liệu và phạm vi, mục đích sử dụng đã được phê duyệt.</w:t>
            </w:r>
          </w:p>
          <w:p w14:paraId="400420B7"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 xml:space="preserve">c) Can thiệp trái phép, xóa, sửa, làm sai lệch hoặc cố ý bỏ qua nhật ký hệ thống, cơ chế cảnh báo, cơ chế kiểm soát truy </w:t>
            </w:r>
            <w:r w:rsidRPr="005437ED">
              <w:rPr>
                <w:rFonts w:ascii="Times New Roman" w:hAnsi="Times New Roman" w:cs="Times New Roman"/>
                <w:sz w:val="26"/>
              </w:rPr>
              <w:lastRenderedPageBreak/>
              <w:t>cập, cơ chế bảo mật hoặc luồng phê duyệt đã được thiết lập.</w:t>
            </w:r>
          </w:p>
          <w:p w14:paraId="7967EC76"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d) Giao cho hệ thống trí tuệ nhân tạo tự quyết định hoặc tự thực hiện việc ký, ban hành, công bố, phát hành văn bản, quyết định hành chính, trả lời chính thức hoặc giao dịch có giá trị pháp lý thay cho người có thẩm quyền, trừ trường hợp pháp luật có quy định cho phép.</w:t>
            </w:r>
          </w:p>
          <w:p w14:paraId="22E76CB8"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đ) Che giấu việc sử dụng hệ thống trí tuệ nhân tạo trong hồ sơ hành chính, dịch vụ công, văn bản trả lời tổ chức, cá nhân hoặc giao diện tương tác với cá nhân, doanh nghiệp trong trường hợp pháp luật yêu cầu thông báo, công khai, gắn nhãn hoặc giải trình.</w:t>
            </w:r>
          </w:p>
          <w:p w14:paraId="2342A071"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e) Sử dụng kết quả đầu ra của hệ thống trí tuệ nhân tạo để tham mưu, xử lý hồ sơ, thực hiện nhiệm vụ công vụ hoặc đưa ra quyết định có ảnh hưởng đến quyền, lợi ích hợp pháp của tổ chức, cá nhân mà không thực hiện việc kiểm tra, xác minh ở mức độ phù hợp với tính chất, mục đích sử dụng và mức độ rủi ro của hệ thống.</w:t>
            </w:r>
          </w:p>
          <w:p w14:paraId="4E11E179"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g) Cản trở việc kiểm tra, giám sát, truy vết, xử lý sự cố; không cung cấp hoặc cung cấp không đầy đủ thông tin theo yêu cầu hợp pháp của cơ quan có thẩm quyền.</w:t>
            </w:r>
          </w:p>
          <w:p w14:paraId="1F03B14E"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h) Sử dụng hệ thống trí tuệ nhân tạo để thao túng, gây ảnh hưởng không phù hợp đến nhận thức, ý chí hoặc hành vi của cá nhân trong quá trình cung cấp dịch vụ công, thực hiện hoạt động công vụ hoặc thực hiện quyền, nghĩa vụ hành chính.</w:t>
            </w:r>
          </w:p>
          <w:p w14:paraId="6BB5C8B6"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 xml:space="preserve">i) Sử dụng hệ thống trí tuệ nhân tạo theo cách lợi dụng điểm yếu của trẻ em, người cao tuổi, người khuyết tật, người dân </w:t>
            </w:r>
            <w:r w:rsidRPr="005437ED">
              <w:rPr>
                <w:rFonts w:ascii="Times New Roman" w:hAnsi="Times New Roman" w:cs="Times New Roman"/>
                <w:sz w:val="26"/>
              </w:rPr>
              <w:lastRenderedPageBreak/>
              <w:t>tộc thiểu số hoặc người có khó khăn trong nhận thức, làm chủ hành vi khi cung cấp dịch vụ công.</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7E1E3FB" w14:textId="77777777" w:rsidR="008D3830" w:rsidRPr="005437ED" w:rsidRDefault="00000000">
            <w:pPr>
              <w:pStyle w:val="ListParagraph"/>
              <w:numPr>
                <w:ilvl w:val="0"/>
                <w:numId w:val="13"/>
              </w:numPr>
              <w:tabs>
                <w:tab w:val="left" w:pos="167"/>
              </w:tabs>
              <w:spacing w:before="120" w:after="0" w:line="240" w:lineRule="auto"/>
              <w:ind w:left="-13" w:firstLine="13"/>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lastRenderedPageBreak/>
              <w:t>Kế thừa cơ bản nội dung của Quyết định số 102/2026/QĐ-UBND ngày 21 tháng 7 năm 2026 của Ủy ban nhân dân thành phố Hà Nội.</w:t>
            </w:r>
          </w:p>
          <w:p w14:paraId="6FF3E361" w14:textId="77777777" w:rsidR="008D3830" w:rsidRPr="005437ED" w:rsidRDefault="00000000">
            <w:pPr>
              <w:pStyle w:val="ListParagraph"/>
              <w:numPr>
                <w:ilvl w:val="0"/>
                <w:numId w:val="13"/>
              </w:numPr>
              <w:tabs>
                <w:tab w:val="left" w:pos="167"/>
              </w:tabs>
              <w:spacing w:before="120" w:after="0" w:line="240" w:lineRule="auto"/>
              <w:ind w:left="-13" w:firstLine="13"/>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Đồng thời, các nội dung tại Điều này được xây dựng trên cơ sở quy định tại Điều 7 Luật Trí tuệ nhân tạo, Điều 7 Luật An ninh mạng, Điều 10 Luật Dữ liệu.</w:t>
            </w:r>
          </w:p>
          <w:p w14:paraId="7A670036" w14:textId="77777777" w:rsidR="008D3830" w:rsidRPr="005437ED" w:rsidRDefault="00000000">
            <w:pPr>
              <w:pStyle w:val="ListParagraph"/>
              <w:numPr>
                <w:ilvl w:val="0"/>
                <w:numId w:val="13"/>
              </w:numPr>
              <w:tabs>
                <w:tab w:val="left" w:pos="167"/>
              </w:tabs>
              <w:spacing w:before="120" w:after="0" w:line="240" w:lineRule="auto"/>
              <w:ind w:left="-13" w:firstLine="13"/>
              <w:contextualSpacing w:val="0"/>
              <w:jc w:val="both"/>
              <w:rPr>
                <w:rFonts w:ascii="Times New Roman" w:hAnsi="Times New Roman" w:cs="Times New Roman"/>
                <w:sz w:val="26"/>
                <w:szCs w:val="26"/>
              </w:rPr>
            </w:pPr>
            <w:r w:rsidRPr="005437ED">
              <w:rPr>
                <w:rFonts w:ascii="Times New Roman" w:hAnsi="Times New Roman" w:cs="Times New Roman"/>
                <w:sz w:val="26"/>
                <w:szCs w:val="26"/>
              </w:rPr>
              <w:t>Các nhóm hành vi bị nghiêm cấm cho hoạt động công vụ phù hợp với quy định tại khoản 2 Điều 27 và Điều 11 Luật Trí tuệ nhân tạo; quy định phòng ngừa xâm phạm bí mật nhà nước phù hợp khoản 10 Điều 5 Luật Bảo vệ bí mật nhà nước.</w:t>
            </w:r>
          </w:p>
          <w:p w14:paraId="5C80211C" w14:textId="77777777" w:rsidR="008D3830" w:rsidRPr="005437ED" w:rsidRDefault="00000000">
            <w:pPr>
              <w:pStyle w:val="ListParagraph"/>
              <w:numPr>
                <w:ilvl w:val="0"/>
                <w:numId w:val="13"/>
              </w:numPr>
              <w:tabs>
                <w:tab w:val="left" w:pos="167"/>
              </w:tabs>
              <w:spacing w:before="120" w:after="0" w:line="240" w:lineRule="auto"/>
              <w:ind w:left="-13" w:firstLine="13"/>
              <w:contextualSpacing w:val="0"/>
              <w:jc w:val="both"/>
              <w:rPr>
                <w:rFonts w:ascii="Times New Roman" w:hAnsi="Times New Roman" w:cs="Times New Roman"/>
                <w:sz w:val="26"/>
                <w:szCs w:val="26"/>
              </w:rPr>
            </w:pPr>
            <w:r w:rsidRPr="005437ED">
              <w:rPr>
                <w:rFonts w:ascii="Times New Roman" w:hAnsi="Times New Roman" w:cs="Times New Roman"/>
                <w:sz w:val="26"/>
                <w:szCs w:val="26"/>
              </w:rPr>
              <w:t xml:space="preserve">Tiếp thu Bản góp ý của Nhóm chuyên môn – Trường Đại học Luật Thành phố Hồ Chí Minh (mục 3): đổi tên điều thành “Các hành vi bị nghiêm cấm và hành vi không được </w:t>
            </w:r>
            <w:r w:rsidRPr="005437ED">
              <w:rPr>
                <w:rFonts w:ascii="Times New Roman" w:hAnsi="Times New Roman" w:cs="Times New Roman"/>
                <w:sz w:val="26"/>
                <w:szCs w:val="26"/>
              </w:rPr>
              <w:lastRenderedPageBreak/>
              <w:t>thực hiện trong hoạt động công vụ”; sửa điểm b, điểm d, điểm e khoản 2; bổ sung điểm h (thao túng nhận thức, ý chí, hành vi) và điểm i (bảo vệ nhóm dễ bị tổn thương) khoản 2.</w:t>
            </w:r>
          </w:p>
        </w:tc>
      </w:tr>
      <w:tr w:rsidR="008D3830" w:rsidRPr="005437ED" w14:paraId="15542322"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1C97512" w14:textId="77777777" w:rsidR="008D3830" w:rsidRPr="005437ED" w:rsidRDefault="00000000">
            <w:pPr>
              <w:pStyle w:val="ListParagraph"/>
              <w:numPr>
                <w:ilvl w:val="0"/>
                <w:numId w:val="13"/>
              </w:numPr>
              <w:tabs>
                <w:tab w:val="left" w:pos="170"/>
              </w:tabs>
              <w:spacing w:before="120" w:after="0" w:line="240" w:lineRule="auto"/>
              <w:ind w:left="0" w:hanging="10"/>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lastRenderedPageBreak/>
              <w:t xml:space="preserve">Điều 4, Điều 9, Điều 11 Luật Trí tuệ nhân tạo số 134/2025/QH15; </w:t>
            </w:r>
          </w:p>
          <w:p w14:paraId="389D05BC" w14:textId="77777777" w:rsidR="008D3830" w:rsidRPr="005437ED" w:rsidRDefault="00000000">
            <w:pPr>
              <w:pStyle w:val="ListParagraph"/>
              <w:numPr>
                <w:ilvl w:val="0"/>
                <w:numId w:val="13"/>
              </w:numPr>
              <w:tabs>
                <w:tab w:val="left" w:pos="170"/>
              </w:tabs>
              <w:spacing w:before="120" w:after="0" w:line="240" w:lineRule="auto"/>
              <w:ind w:left="0" w:hanging="10"/>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Điều 3 Thông tư số 05/2026/TT-BKHCN.</w:t>
            </w:r>
          </w:p>
          <w:p w14:paraId="7AF1E119" w14:textId="77777777" w:rsidR="008D3830" w:rsidRPr="005437ED" w:rsidRDefault="00000000">
            <w:pPr>
              <w:pStyle w:val="ListParagraph"/>
              <w:numPr>
                <w:ilvl w:val="0"/>
                <w:numId w:val="13"/>
              </w:numPr>
              <w:tabs>
                <w:tab w:val="left" w:pos="170"/>
              </w:tabs>
              <w:spacing w:before="120" w:after="0" w:line="240" w:lineRule="auto"/>
              <w:ind w:left="0" w:hanging="10"/>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Luật An ninh mạng số 116/2025/QH15; </w:t>
            </w:r>
          </w:p>
          <w:p w14:paraId="2C557A30" w14:textId="77777777" w:rsidR="008D3830" w:rsidRPr="005437ED" w:rsidRDefault="00000000">
            <w:pPr>
              <w:pStyle w:val="ListParagraph"/>
              <w:numPr>
                <w:ilvl w:val="0"/>
                <w:numId w:val="13"/>
              </w:numPr>
              <w:tabs>
                <w:tab w:val="left" w:pos="170"/>
              </w:tabs>
              <w:spacing w:before="120" w:after="0" w:line="240" w:lineRule="auto"/>
              <w:ind w:left="0" w:hanging="10"/>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Luật Bảo vệ dữ liệu cá nhân số 91/2025/QH15; </w:t>
            </w:r>
          </w:p>
          <w:p w14:paraId="663D51E3" w14:textId="77777777" w:rsidR="008D3830" w:rsidRPr="005437ED" w:rsidRDefault="00000000">
            <w:pPr>
              <w:pStyle w:val="ListParagraph"/>
              <w:numPr>
                <w:ilvl w:val="0"/>
                <w:numId w:val="13"/>
              </w:numPr>
              <w:tabs>
                <w:tab w:val="left" w:pos="170"/>
              </w:tabs>
              <w:spacing w:before="120" w:after="0" w:line="240" w:lineRule="auto"/>
              <w:ind w:left="0" w:hanging="10"/>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Luật Bảo vệ bí mật nhà nước số 117/2025/QH15.</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97B521F" w14:textId="77777777" w:rsidR="008D3830" w:rsidRPr="005437ED" w:rsidRDefault="00000000">
            <w:pPr>
              <w:spacing w:after="60"/>
              <w:rPr>
                <w:rFonts w:ascii="Times New Roman" w:hAnsi="Times New Roman" w:cs="Times New Roman"/>
              </w:rPr>
            </w:pPr>
            <w:r w:rsidRPr="005437ED">
              <w:rPr>
                <w:rFonts w:ascii="Times New Roman" w:hAnsi="Times New Roman" w:cs="Times New Roman"/>
                <w:b/>
                <w:sz w:val="26"/>
              </w:rPr>
              <w:t>Điều 5. Nguyên tắc áp dụng</w:t>
            </w:r>
          </w:p>
          <w:p w14:paraId="6B0A553D"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1. Việc áp dụng Quy định phải bảo đảm tính thống nhất, đồng bộ với các quy định pháp luật hiện hành về trí tuệ nhân tạo, an ninh mạng, dữ liệu, khung đạo đức trí tuệ nhân tạo quốc gia và các văn bản hướng dẫn chuyên ngành của Bộ Khoa học và Công nghệ.</w:t>
            </w:r>
          </w:p>
          <w:p w14:paraId="0674E72C"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2. Việc quản lý và sử dụng hệ thống trí tuệ nhân tạo trong hoạt động công vụ phải bảo đảm tuân thủ các nguyên tắc tại Điều 4 Luật Trí tuệ nhân tạo số 134/2025/QH15.</w:t>
            </w:r>
          </w:p>
          <w:p w14:paraId="4DD52693"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3. Tổ chức, doanh nghiệp, cá nhân cung cấp, phát triển, triển khai, tích hợp, vận hành, bảo trì, kiểm thử, đánh giá, xử lý dữ liệu nhằm cung cấp dịch vụ liên quan đến hệ thống trí tuệ nhân tạo cho cơ quan, đơn vị thuộc Ủy ban nhân dân Thành phố Hồ Chí Minh có trách nhiệm nghiên cứu, quán triệt và tuân thủ các nguyên tắc an toàn, chuẩn mực quản lý và ứng dụng trí tuệ nhân tạo quy định tại Quy định này.</w:t>
            </w:r>
          </w:p>
          <w:p w14:paraId="0535B9F6"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4. Việc quản lý và sử dụng hệ thống trí tuệ nhân tạo trong hoạt động công vụ phải bảo đảm các yêu cầu sau đây:</w:t>
            </w:r>
          </w:p>
          <w:p w14:paraId="792BBCB3"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a) Lấy con người làm trung tâm;</w:t>
            </w:r>
          </w:p>
          <w:p w14:paraId="1DF310EC"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b) Bảo đảm sự giám sát, kiểm soát và khả năng can thiệp có ý nghĩa của con người;</w:t>
            </w:r>
          </w:p>
          <w:p w14:paraId="10DCE4CF"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c) Công khai, minh bạch, có trách nhiệm giải trình phù hợp với tính chất, phạm vi sử dụng và mức độ rủi ro của hệ thống;</w:t>
            </w:r>
          </w:p>
          <w:p w14:paraId="0542A016"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lastRenderedPageBreak/>
              <w:t>d) Quản lý rủi ro tương xứng với mức độ tác động của hệ thống đối với quyền, lợi ích hợp pháp của tổ chức, cá nhân và lợi ích công cộng;</w:t>
            </w:r>
          </w:p>
          <w:p w14:paraId="68041906"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đ) Bảo đảm an ninh mạng, bảo vệ dữ liệu cá nhân, bí mật nhà nước, bí mật công tác, bí mật công nghệ và quyền sở hữu trí tuệ theo quy định của pháp luật;</w:t>
            </w:r>
          </w:p>
          <w:p w14:paraId="0040DB64"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e) Phù hợp với Khung đạo đức trí tuệ nhân tạo quốc gia, các tiêu chuẩn kỹ thuật do cơ quan có thẩm quyền ban hành;</w:t>
            </w:r>
          </w:p>
          <w:p w14:paraId="532D477F"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g) Thúc đẩy phát triển, ứng dụng trí tuệ nhân tạo theo hướng an toàn, xanh, bao trùm, bền vững, sử dụng hiệu quả năng lượng, tiết kiệm tài nguyên và hạn chế tác động tiêu cực đến môi trường.</w:t>
            </w:r>
          </w:p>
          <w:p w14:paraId="0B1CA783"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HỆ THỐNG TRÍ TUỆ NHÂN TẠO</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552FC51" w14:textId="77777777" w:rsidR="008D3830" w:rsidRPr="005437ED" w:rsidRDefault="00000000">
            <w:pPr>
              <w:spacing w:before="120"/>
              <w:ind w:left="-13" w:hanging="13"/>
              <w:jc w:val="both"/>
              <w:rPr>
                <w:rFonts w:ascii="Times New Roman" w:hAnsi="Times New Roman" w:cs="Times New Roman"/>
                <w:sz w:val="26"/>
                <w:szCs w:val="26"/>
              </w:rPr>
            </w:pPr>
            <w:r w:rsidRPr="005437ED">
              <w:rPr>
                <w:rFonts w:ascii="Times New Roman" w:hAnsi="Times New Roman" w:cs="Times New Roman"/>
                <w:sz w:val="26"/>
                <w:szCs w:val="26"/>
              </w:rPr>
              <w:lastRenderedPageBreak/>
              <w:t>Kế thừa cơ bản nội dung của Quyết định số 102/2026/QĐ-UBND ngày 21 tháng 7 năm 2026 của Ủy ban nhân dân thành phố Hà Nội.</w:t>
            </w:r>
          </w:p>
          <w:p w14:paraId="3BA6A451" w14:textId="77777777" w:rsidR="008D3830" w:rsidRPr="005437ED" w:rsidRDefault="00000000">
            <w:pPr>
              <w:spacing w:before="120"/>
              <w:ind w:left="-13" w:hanging="13"/>
              <w:jc w:val="both"/>
              <w:rPr>
                <w:rFonts w:ascii="Times New Roman" w:hAnsi="Times New Roman" w:cs="Times New Roman"/>
                <w:sz w:val="26"/>
                <w:szCs w:val="26"/>
              </w:rPr>
            </w:pPr>
            <w:r w:rsidRPr="005437ED">
              <w:rPr>
                <w:rFonts w:ascii="Times New Roman" w:hAnsi="Times New Roman" w:cs="Times New Roman"/>
                <w:sz w:val="26"/>
                <w:szCs w:val="26"/>
              </w:rPr>
              <w:t xml:space="preserve">Đồng thời, các nội dung tại Điều này được xây dựng trên cơ sở quy định Khung đạo đức trí tuệ nhân tạo quốc gia; Điều 4, Điều 9, Điều 11 Luật Trí tuệ nhân tạo, Điều 3 Thông tư số 05/2026/TT-BKHCN, Luật An ninh mạng, Luật Bảo vệ dữ liệu cá nhân, Luật Bảo vệ bí mật nhà nước. </w:t>
            </w:r>
          </w:p>
          <w:p w14:paraId="02FA78B1" w14:textId="77777777" w:rsidR="008D3830" w:rsidRPr="005437ED" w:rsidRDefault="00000000">
            <w:pPr>
              <w:spacing w:before="120"/>
              <w:ind w:left="-13" w:hanging="13"/>
              <w:jc w:val="both"/>
              <w:rPr>
                <w:rFonts w:ascii="Times New Roman" w:hAnsi="Times New Roman" w:cs="Times New Roman"/>
                <w:sz w:val="26"/>
                <w:szCs w:val="26"/>
              </w:rPr>
            </w:pPr>
            <w:r w:rsidRPr="005437ED">
              <w:rPr>
                <w:rFonts w:ascii="Times New Roman" w:hAnsi="Times New Roman" w:cs="Times New Roman"/>
                <w:sz w:val="26"/>
                <w:szCs w:val="26"/>
              </w:rPr>
              <w:t>Tiếp thu ý kiến thẩm định của Sở Tư pháp (Báo cáo số 12179/BC-STP ngày 18/9/2026, mục 8.1): rà soát cách viện dẫn văn bản tại khoản 2.</w:t>
            </w:r>
          </w:p>
          <w:p w14:paraId="5DF4D9CB" w14:textId="77777777" w:rsidR="008D3830" w:rsidRPr="005437ED" w:rsidRDefault="008D3830">
            <w:pPr>
              <w:spacing w:before="120"/>
              <w:ind w:left="-13" w:hanging="13"/>
              <w:jc w:val="both"/>
              <w:rPr>
                <w:rFonts w:ascii="Times New Roman" w:hAnsi="Times New Roman" w:cs="Times New Roman"/>
                <w:sz w:val="26"/>
                <w:szCs w:val="26"/>
              </w:rPr>
            </w:pPr>
          </w:p>
        </w:tc>
      </w:tr>
      <w:tr w:rsidR="008D3830" w:rsidRPr="005437ED" w14:paraId="0F35CA7C" w14:textId="77777777">
        <w:tc>
          <w:tcPr>
            <w:tcW w:w="14881" w:type="dxa"/>
            <w:gridSpan w:val="3"/>
            <w:tcBorders>
              <w:top w:val="single" w:sz="4" w:space="0" w:color="000000"/>
              <w:left w:val="single" w:sz="4" w:space="0" w:color="000000"/>
              <w:bottom w:val="single" w:sz="4" w:space="0" w:color="000000"/>
              <w:right w:val="single" w:sz="4" w:space="0" w:color="000000"/>
            </w:tcBorders>
            <w:shd w:val="clear" w:color="auto" w:fill="DAE9F7"/>
            <w:tcMar>
              <w:top w:w="100" w:type="dxa"/>
              <w:left w:w="100" w:type="dxa"/>
              <w:bottom w:w="100" w:type="dxa"/>
              <w:right w:w="100" w:type="dxa"/>
            </w:tcMar>
          </w:tcPr>
          <w:p w14:paraId="57D4866C" w14:textId="77777777" w:rsidR="008D3830" w:rsidRPr="005437ED" w:rsidRDefault="00000000">
            <w:pPr>
              <w:spacing w:before="120"/>
              <w:jc w:val="center"/>
              <w:rPr>
                <w:rFonts w:ascii="Times New Roman" w:hAnsi="Times New Roman" w:cs="Times New Roman"/>
                <w:sz w:val="26"/>
                <w:szCs w:val="26"/>
              </w:rPr>
            </w:pPr>
            <w:r w:rsidRPr="005437ED">
              <w:rPr>
                <w:rFonts w:ascii="Times New Roman" w:hAnsi="Times New Roman" w:cs="Times New Roman"/>
                <w:b/>
                <w:bCs/>
                <w:sz w:val="26"/>
                <w:szCs w:val="26"/>
              </w:rPr>
              <w:t>Chương II. BẢO ĐẢM AN TOÀN VÀ QUẢN LÝ RỦI RO ĐỐI VỚI HỆ THỐNG TRÍ TUỆ NHÂN TẠO</w:t>
            </w:r>
          </w:p>
        </w:tc>
      </w:tr>
      <w:tr w:rsidR="008D3830" w:rsidRPr="005437ED" w14:paraId="4FF07B6A"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DA5A415" w14:textId="77777777" w:rsidR="008D3830" w:rsidRPr="005437ED" w:rsidRDefault="00000000">
            <w:pPr>
              <w:pStyle w:val="ListParagraph"/>
              <w:numPr>
                <w:ilvl w:val="0"/>
                <w:numId w:val="13"/>
              </w:numPr>
              <w:tabs>
                <w:tab w:val="left" w:pos="170"/>
              </w:tabs>
              <w:spacing w:before="120" w:after="0" w:line="240" w:lineRule="auto"/>
              <w:ind w:left="0" w:hanging="10"/>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Điều 9, Điều 10 Luật Trí tuệ nhân tạo số 134/2025/QH15;</w:t>
            </w:r>
          </w:p>
          <w:p w14:paraId="76947378" w14:textId="77777777" w:rsidR="008D3830" w:rsidRPr="005437ED" w:rsidRDefault="00000000">
            <w:pPr>
              <w:pStyle w:val="ListParagraph"/>
              <w:numPr>
                <w:ilvl w:val="0"/>
                <w:numId w:val="13"/>
              </w:numPr>
              <w:tabs>
                <w:tab w:val="left" w:pos="170"/>
              </w:tabs>
              <w:spacing w:before="120" w:after="0" w:line="240" w:lineRule="auto"/>
              <w:ind w:left="0" w:hanging="10"/>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Chương II Nghị định số 142/2026/NĐ-CP; </w:t>
            </w:r>
          </w:p>
          <w:p w14:paraId="381ECB7D" w14:textId="77777777" w:rsidR="008D3830" w:rsidRPr="005437ED" w:rsidRDefault="00000000">
            <w:pPr>
              <w:pStyle w:val="ListParagraph"/>
              <w:numPr>
                <w:ilvl w:val="0"/>
                <w:numId w:val="13"/>
              </w:numPr>
              <w:tabs>
                <w:tab w:val="left" w:pos="170"/>
              </w:tabs>
              <w:spacing w:before="120" w:after="0" w:line="240" w:lineRule="auto"/>
              <w:ind w:left="0" w:hanging="10"/>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Quyết định số 33/2026/QĐ-TTg ngày 30 tháng 6 năm 2026.</w:t>
            </w:r>
          </w:p>
          <w:p w14:paraId="10714EDC" w14:textId="77777777" w:rsidR="008D3830" w:rsidRPr="005437ED" w:rsidRDefault="00000000">
            <w:pPr>
              <w:pStyle w:val="ListParagraph"/>
              <w:numPr>
                <w:ilvl w:val="0"/>
                <w:numId w:val="13"/>
              </w:numPr>
              <w:tabs>
                <w:tab w:val="left" w:pos="170"/>
              </w:tabs>
              <w:spacing w:before="120" w:after="0" w:line="240" w:lineRule="auto"/>
              <w:ind w:left="0" w:hanging="10"/>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 xml:space="preserve">Điểm c khoản 1 Điều 14 Luật Trí tuệ nhân tạo số 134/2025/QH15; </w:t>
            </w:r>
          </w:p>
          <w:p w14:paraId="65EAF63B" w14:textId="77777777" w:rsidR="008D3830" w:rsidRPr="005437ED" w:rsidRDefault="00000000">
            <w:pPr>
              <w:pStyle w:val="ListParagraph"/>
              <w:numPr>
                <w:ilvl w:val="0"/>
                <w:numId w:val="13"/>
              </w:numPr>
              <w:tabs>
                <w:tab w:val="left" w:pos="170"/>
              </w:tabs>
              <w:spacing w:before="120" w:after="0" w:line="240" w:lineRule="auto"/>
              <w:ind w:left="0" w:hanging="10"/>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lastRenderedPageBreak/>
              <w:t>Điều 12 Nghị định số 142/2026/NĐ-CP.</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1F52B00" w14:textId="77777777" w:rsidR="008D3830" w:rsidRPr="005437ED" w:rsidRDefault="00000000">
            <w:pPr>
              <w:spacing w:after="60"/>
              <w:rPr>
                <w:rFonts w:ascii="Times New Roman" w:hAnsi="Times New Roman" w:cs="Times New Roman"/>
              </w:rPr>
            </w:pPr>
            <w:r w:rsidRPr="005437ED">
              <w:rPr>
                <w:rFonts w:ascii="Times New Roman" w:hAnsi="Times New Roman" w:cs="Times New Roman"/>
                <w:b/>
                <w:sz w:val="26"/>
              </w:rPr>
              <w:lastRenderedPageBreak/>
              <w:t>Điều 6. Phân loại rủi ro</w:t>
            </w:r>
          </w:p>
          <w:p w14:paraId="357F5240"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1. Việc phân loại rủi ro, phân loại lại, thông báo kết quả phân loại và thực hiện nghĩa vụ tương ứng với từng mức rủi ro của hệ thống trí tuệ nhân tạo thực hiện theo quy định tại Điều 9, Điều 10 Luật Trí tuệ nhân tạo số 134/2025/QH15, Chương II Nghị định số 142/2026/NĐ-CP và văn bản pháp luật có liên quan.</w:t>
            </w:r>
          </w:p>
          <w:p w14:paraId="70834461"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 xml:space="preserve">2. Cơ quan chủ quản hệ thống trí tuệ nhân tạo có trách nhiệm sử dụng kết quả phân loại rủi ro làm căn cứ tổ chức quản lý, kiểm soát an toàn, bảo vệ dữ liệu, giám sát của con người, kiểm tra điều kiện vận hành và xử lý sự cố theo quy định của </w:t>
            </w:r>
            <w:r w:rsidRPr="005437ED">
              <w:rPr>
                <w:rFonts w:ascii="Times New Roman" w:hAnsi="Times New Roman" w:cs="Times New Roman"/>
                <w:sz w:val="26"/>
              </w:rPr>
              <w:lastRenderedPageBreak/>
              <w:t>pháp luật.</w:t>
            </w:r>
          </w:p>
          <w:p w14:paraId="76E339FE"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3. Trường hợp sửa đổi, tích hợp, thay đổi chức năng, mục đích sử dụng, dữ liệu, mô hình, cấu hình, quyền truy cập hoặc môi trường vận hành có khả năng làm phát sinh rủi ro mới hoặc rủi ro cao hơn, cơ quan chủ quản hệ thống trí tuệ nhân tạo có trách nhiệm phối hợp với nhà cung cấp, bên triển khai hoặc đơn vị có liên quan rà soát, phân loại lại và thông báo kết quả theo quy định của Luật Trí tuệ nhân tạo và Nghị định số 142/2026/NĐ-CP. Đối với hệ thống trí tuệ nhân tạo có rủi ro cao, khi phát sinh thay đổi đáng kể theo quy định của Nghị định số 142/2026/NĐ-CP thì phải thực hiện đánh giá lại sự phù hợp trước khi tiếp tục sử dụng. Trường hợp nâng cấp, tối ưu hóa hiệu suất, sửa lỗi kỹ thuật thông thường hoặc cập nhật dữ liệu định kỳ không làm thay đổi bản chất rủi ro, việc rà soát, thông báo lại thực hiện theo quy định của Nghị định số 142/2026/NĐ-CP.</w:t>
            </w:r>
          </w:p>
          <w:p w14:paraId="0634AFC0"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4. Mỗi hệ thống trí tuệ nhân tạo phải có hồ sơ quản lý; nội dung hồ sơ được xác định tương xứng với mức độ rủi ro và phạm vi sử dụng của hệ thống, bao gồm những thông tin tối thiểu như sau:</w:t>
            </w:r>
          </w:p>
          <w:p w14:paraId="2E471093"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a) Tên hệ thống, cơ quan chủ quản hệ thống trí tuệ nhân tạo;</w:t>
            </w:r>
          </w:p>
          <w:p w14:paraId="7753973D"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b) Mục đích sử dụng, phạm vi sử dụng;</w:t>
            </w:r>
          </w:p>
          <w:p w14:paraId="5CDDF612"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c) Loại dữ liệu đầu vào, nguồn dữ liệu;</w:t>
            </w:r>
          </w:p>
          <w:p w14:paraId="4A35F491"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d) Mức độ rủi ro;</w:t>
            </w:r>
          </w:p>
          <w:p w14:paraId="12F44B53"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đ) Thông tin về nhà cung cấp, mô hình, nền tảng sử dụng, kết quả thử nghiệm, tài liệu vận hành, giao diện lập trình ứng dụng (API);</w:t>
            </w:r>
          </w:p>
          <w:p w14:paraId="40FA712A"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lastRenderedPageBreak/>
              <w:t>e) Đánh giá hiệu năng, độ chính xác, độ tin cậy và chất lượng đầu ra;</w:t>
            </w:r>
          </w:p>
          <w:p w14:paraId="62D43312"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g) Cơ chế ghi nhật ký, truy vết, sao lưu, phục hồi;</w:t>
            </w:r>
          </w:p>
          <w:p w14:paraId="01B81914"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h) An ninh mạng và quy trình xử lý sự cố;</w:t>
            </w:r>
          </w:p>
          <w:p w14:paraId="0EA6B816"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i) Thời điểm đánh giá, rà soát lại;</w:t>
            </w:r>
          </w:p>
          <w:p w14:paraId="2CF0D0BA"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k) Hồ sơ phân loại rủi ro, báo cáo đánh giá tác động, kết quả đánh giá sự phù hợp (đối với hệ thống có rủi ro cao), mã định danh hệ thống (nếu có) và các hồ sơ, tài liệu khác theo quy định của Luật Trí tuệ nhân tạo và Nghị định số 142/2026/NĐ-CP.</w:t>
            </w:r>
          </w:p>
          <w:p w14:paraId="2D844AE9"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Hồ sơ quản lý quy định tại khoản này là hồ sơ quản lý nội bộ của cơ quan chủ quản hệ thống trí tuệ nhân tạo; không thay thế và không làm phát sinh thêm nghĩa vụ tuân thủ ngoài quy định của Luật Trí tuệ nhân tạo số 134/2025/QH15 và Nghị định số 142/2026/NĐ-CP. Đối với hệ thống trí tuệ nhân tạo không được xác định là hệ thống có rủi ro cao, hồ sơ quản lý gồm tối thiểu các thông tin tại điểm a, b, c, d và h khoản này. Hồ sơ quản lý được lưu trữ trong suốt thời gian hệ thống hoạt động.</w:t>
            </w:r>
          </w:p>
          <w:p w14:paraId="473A903B"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 xml:space="preserve">5. Cơ quan, đơn vị xác định tư cách nhà cung cấp hoặc bên triển khai của mình đối với từng hệ thống trí tuệ nhân tạo theo quy định của Luật Trí tuệ nhân tạo, bao gồm trường hợp mua sắm, thuê dịch vụ, tiếp nhận chuyển giao, sử dụng hệ thống do tổ chức, cá nhân khác cung cấp và trường hợp tự phát triển, tự đưa hệ thống vào sử dụng; thực hiện nghĩa vụ phân loại rủi ro, lập hồ sơ phân loại, thông báo kết quả phân loại tương ứng với tư cách đã xác định theo quy định của </w:t>
            </w:r>
            <w:r w:rsidRPr="005437ED">
              <w:rPr>
                <w:rFonts w:ascii="Times New Roman" w:hAnsi="Times New Roman" w:cs="Times New Roman"/>
                <w:sz w:val="26"/>
              </w:rPr>
              <w:lastRenderedPageBreak/>
              <w:t>Luật Trí tuệ nhân tạo và Nghị định số 142/2026/NĐ-CP; ghi nhận tư cách này tại hồ sơ quản lý quy định tại khoản 4 Điều này.</w:t>
            </w:r>
          </w:p>
          <w:p w14:paraId="2CBBFB21"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6. Đối với hệ thống trí tuệ nhân tạo dùng chung phục vụ nhiều cơ quan, đơn vị thuộc Thành phố, cơ quan được giao chủ trì là chủ quản hệ thống, thực hiện phân loại rủi ro, lập hồ sơ quản lý, đánh giá tác động và báo cáo sự cố đối với toàn bộ hệ thống; cơ quan, đơn vị sử dụng chịu trách nhiệm trong phạm vi dữ liệu đưa vào, tài khoản được cấp, quy trình nghiệp vụ và việc sử dụng kết quả đầu ra của mình; trường hợp thay đổi mục đích, phạm vi sử dụng làm phát sinh rủi ro mới, cơ quan, đơn vị sử dụng thông báo cho cơ quan chủ trì để rà soát, phân loại lại.</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29DF6B5" w14:textId="77777777" w:rsidR="008D3830" w:rsidRPr="005437ED" w:rsidRDefault="00000000">
            <w:pPr>
              <w:pStyle w:val="ListParagraph"/>
              <w:numPr>
                <w:ilvl w:val="0"/>
                <w:numId w:val="20"/>
              </w:numPr>
              <w:tabs>
                <w:tab w:val="left" w:pos="167"/>
              </w:tabs>
              <w:spacing w:before="120" w:after="0" w:line="240" w:lineRule="auto"/>
              <w:ind w:left="0" w:firstLine="0"/>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lastRenderedPageBreak/>
              <w:t>Kế thừa cơ bản nội dung của Quyết định số 102/2026/QĐ-UBND ngày 21 tháng 7 năm 2026 của Ủy ban nhân dân thành phố Hà Nội.</w:t>
            </w:r>
          </w:p>
          <w:p w14:paraId="410E4FCD" w14:textId="77777777" w:rsidR="008D3830" w:rsidRPr="005437ED" w:rsidRDefault="00000000">
            <w:pPr>
              <w:pStyle w:val="ListParagraph"/>
              <w:numPr>
                <w:ilvl w:val="0"/>
                <w:numId w:val="20"/>
              </w:numPr>
              <w:tabs>
                <w:tab w:val="left" w:pos="167"/>
              </w:tabs>
              <w:spacing w:before="120" w:after="0" w:line="240" w:lineRule="auto"/>
              <w:ind w:left="0" w:firstLine="0"/>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 xml:space="preserve">Đồng thời, các nội dung tại Điều này được xây dựng trên cơ sở quy định tại Điều 9, Điều 10 Luật Trí tuệ nhân tạo, Chương II Nghị định số 142/2026/NĐ-CP, phù hợp với Danh mục hệ thống trí tuệ nhân tạo có rủi ro cao ban hành tại Quyết định số 33/2026/QĐ-TTg; nghĩa vụ lập hồ sơ kỹ thuật phù hợp với quy định tại điểm c khoản 1 Điều 14 Luật Trí tuệ </w:t>
            </w:r>
            <w:r w:rsidRPr="005437ED">
              <w:rPr>
                <w:rFonts w:ascii="Times New Roman" w:eastAsia="Times New Roman;Times New Roman" w:hAnsi="Times New Roman" w:cs="Times New Roman"/>
                <w:sz w:val="26"/>
                <w:szCs w:val="26"/>
              </w:rPr>
              <w:lastRenderedPageBreak/>
              <w:t xml:space="preserve">nhân tạo và Điều 12 Nghị định số 142/2026/NĐ-CP. </w:t>
            </w:r>
          </w:p>
          <w:p w14:paraId="5D184157" w14:textId="77777777" w:rsidR="008D3830" w:rsidRPr="005437ED" w:rsidRDefault="00000000">
            <w:pPr>
              <w:pStyle w:val="ListParagraph"/>
              <w:numPr>
                <w:ilvl w:val="0"/>
                <w:numId w:val="20"/>
              </w:numPr>
              <w:tabs>
                <w:tab w:val="left" w:pos="167"/>
              </w:tabs>
              <w:spacing w:before="120" w:after="0" w:line="240" w:lineRule="auto"/>
              <w:ind w:left="0" w:firstLine="0"/>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Tiếp thu ý kiến thẩm định của Sở Tư pháp (Báo cáo số 12179/BC-STP ngày 18/9/2026, mục 8.1): rà soát cách viện dẫn văn bản tại khoản 1.</w:t>
            </w:r>
          </w:p>
          <w:p w14:paraId="068F8698" w14:textId="77777777" w:rsidR="008D3830" w:rsidRPr="005437ED" w:rsidRDefault="00000000">
            <w:pPr>
              <w:pStyle w:val="ListParagraph"/>
              <w:numPr>
                <w:ilvl w:val="0"/>
                <w:numId w:val="20"/>
              </w:numPr>
              <w:tabs>
                <w:tab w:val="left" w:pos="167"/>
              </w:tabs>
              <w:spacing w:before="120" w:after="0" w:line="240" w:lineRule="auto"/>
              <w:ind w:left="0" w:firstLine="0"/>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Tiếp thu ý kiến tham vấn của Bộ Khoa học và Công nghệ (Công văn số 6955/BKHCN-PC ngày 10/9/2026): khoản 4 xác định hồ sơ quản lý là hồ sơ quản lý nội bộ, không thay thế, không làm phát sinh thêm nghĩa vụ tuân thủ ngoài Luật Trí tuệ nhân tạo và Nghị định số 142/2026/NĐ-CP.</w:t>
            </w:r>
          </w:p>
          <w:p w14:paraId="4B2B1C7B" w14:textId="77777777" w:rsidR="008D3830" w:rsidRPr="005437ED" w:rsidRDefault="00000000">
            <w:pPr>
              <w:pStyle w:val="ListParagraph"/>
              <w:numPr>
                <w:ilvl w:val="0"/>
                <w:numId w:val="20"/>
              </w:numPr>
              <w:tabs>
                <w:tab w:val="left" w:pos="167"/>
              </w:tabs>
              <w:spacing w:before="120" w:after="0" w:line="240" w:lineRule="auto"/>
              <w:ind w:left="0" w:firstLine="0"/>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Tiếp thu Bản góp ý của Nhóm chuyên môn – Trường Đại học Luật Thành phố Hồ Chí Minh (mục 4, đoạn 1 đến đoạn 4; mục 7, đoạn 1): khoản 3 quy định trách nhiệm phối hợp phân loại lại; khoản 4 quy định nội dung hồ sơ tương xứng với mức độ rủi ro và phạm vi sử dụng, bổ sung tài liệu pháp lý bắt buộc và thời gian lưu trữ; bổ sung khoản 5 (xác định tư cách nhà cung cấp hoặc bên triển khai) và khoản 6 (hệ thống trí tuệ nhân tạo dùng chung trong nội bộ Thành phố).</w:t>
            </w:r>
          </w:p>
        </w:tc>
      </w:tr>
      <w:tr w:rsidR="008D3830" w:rsidRPr="005437ED" w14:paraId="15304094" w14:textId="77777777">
        <w:trPr>
          <w:trHeight w:val="2074"/>
        </w:trPr>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7BB7E74" w14:textId="77777777" w:rsidR="008D3830" w:rsidRPr="005437ED" w:rsidRDefault="00000000">
            <w:pPr>
              <w:pStyle w:val="ListParagraph"/>
              <w:numPr>
                <w:ilvl w:val="0"/>
                <w:numId w:val="13"/>
              </w:numPr>
              <w:tabs>
                <w:tab w:val="left" w:pos="170"/>
              </w:tabs>
              <w:spacing w:before="120" w:after="0" w:line="240" w:lineRule="auto"/>
              <w:ind w:left="0" w:hanging="10"/>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lastRenderedPageBreak/>
              <w:t>Khoản 1 Điều 16 Luật Trí tuệ nhân tạo số 134/2025/QH15;</w:t>
            </w:r>
          </w:p>
          <w:p w14:paraId="4EEF0606" w14:textId="77777777" w:rsidR="008D3830" w:rsidRPr="005437ED" w:rsidRDefault="00000000">
            <w:pPr>
              <w:pStyle w:val="ListParagraph"/>
              <w:numPr>
                <w:ilvl w:val="0"/>
                <w:numId w:val="13"/>
              </w:numPr>
              <w:tabs>
                <w:tab w:val="left" w:pos="170"/>
              </w:tabs>
              <w:spacing w:before="120" w:after="0" w:line="240" w:lineRule="auto"/>
              <w:ind w:left="0" w:hanging="10"/>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Khoản 3, khoản 6 Điều 8 Luật Chuyển đổi số số 148/2025/QH15;</w:t>
            </w:r>
          </w:p>
          <w:p w14:paraId="42C704DF" w14:textId="77777777" w:rsidR="008D3830" w:rsidRPr="005437ED" w:rsidRDefault="00000000">
            <w:pPr>
              <w:pStyle w:val="ListParagraph"/>
              <w:numPr>
                <w:ilvl w:val="0"/>
                <w:numId w:val="13"/>
              </w:numPr>
              <w:tabs>
                <w:tab w:val="left" w:pos="170"/>
              </w:tabs>
              <w:spacing w:before="120" w:after="0" w:line="240" w:lineRule="auto"/>
              <w:ind w:left="0" w:hanging="10"/>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Điều 17 Luật Dữ liệu số 60/2024/QH15.</w:t>
            </w:r>
          </w:p>
          <w:p w14:paraId="6812C00B" w14:textId="77777777" w:rsidR="008D3830" w:rsidRPr="005437ED" w:rsidRDefault="00000000">
            <w:pPr>
              <w:pStyle w:val="ListParagraph"/>
              <w:numPr>
                <w:ilvl w:val="0"/>
                <w:numId w:val="13"/>
              </w:numPr>
              <w:tabs>
                <w:tab w:val="left" w:pos="170"/>
              </w:tabs>
              <w:spacing w:before="120" w:after="0" w:line="240" w:lineRule="auto"/>
              <w:ind w:left="0" w:hanging="10"/>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Điều 7, Điều 37, khoản 5 Điều 23 Nghị định số 224/2026/NĐ-CP;</w:t>
            </w:r>
          </w:p>
          <w:p w14:paraId="325E4874" w14:textId="77777777" w:rsidR="008D3830" w:rsidRPr="005437ED" w:rsidRDefault="00000000">
            <w:pPr>
              <w:pStyle w:val="ListParagraph"/>
              <w:numPr>
                <w:ilvl w:val="0"/>
                <w:numId w:val="13"/>
              </w:numPr>
              <w:tabs>
                <w:tab w:val="left" w:pos="170"/>
              </w:tabs>
              <w:spacing w:before="120" w:after="0" w:line="240" w:lineRule="auto"/>
              <w:ind w:left="0" w:hanging="10"/>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Khoản 2, khoản 3 Điều 27 Luật Trí tuệ nhân tạo số </w:t>
            </w:r>
            <w:r w:rsidRPr="005437ED">
              <w:rPr>
                <w:rFonts w:ascii="Times New Roman" w:eastAsia="Times New Roman;Times New Roman" w:hAnsi="Times New Roman" w:cs="Times New Roman"/>
                <w:sz w:val="26"/>
                <w:szCs w:val="26"/>
              </w:rPr>
              <w:lastRenderedPageBreak/>
              <w:t>134/2025/QH15;</w:t>
            </w:r>
          </w:p>
          <w:p w14:paraId="660E578A" w14:textId="77777777" w:rsidR="008D3830" w:rsidRPr="005437ED" w:rsidRDefault="00000000">
            <w:pPr>
              <w:pStyle w:val="ListParagraph"/>
              <w:numPr>
                <w:ilvl w:val="0"/>
                <w:numId w:val="13"/>
              </w:numPr>
              <w:tabs>
                <w:tab w:val="left" w:pos="170"/>
              </w:tabs>
              <w:spacing w:before="120" w:after="0" w:line="240" w:lineRule="auto"/>
              <w:ind w:left="0" w:hanging="10"/>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Điều 20 Nghị định số 142/2026/NĐ-CP; </w:t>
            </w:r>
          </w:p>
          <w:p w14:paraId="4F413B53" w14:textId="77777777" w:rsidR="008D3830" w:rsidRPr="005437ED" w:rsidRDefault="00000000">
            <w:pPr>
              <w:pStyle w:val="ListParagraph"/>
              <w:numPr>
                <w:ilvl w:val="0"/>
                <w:numId w:val="13"/>
              </w:numPr>
              <w:tabs>
                <w:tab w:val="left" w:pos="170"/>
              </w:tabs>
              <w:spacing w:before="120" w:after="0" w:line="240" w:lineRule="auto"/>
              <w:ind w:left="0" w:hanging="10"/>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điểm c Khoản 1 Điều 14 Luật Trí tuệ nhân tạo số 134/2025/QH15.</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48DB21A" w14:textId="77777777" w:rsidR="008D3830" w:rsidRPr="005437ED" w:rsidRDefault="00000000">
            <w:pPr>
              <w:spacing w:after="60"/>
              <w:rPr>
                <w:rFonts w:ascii="Times New Roman" w:hAnsi="Times New Roman" w:cs="Times New Roman"/>
              </w:rPr>
            </w:pPr>
            <w:r w:rsidRPr="005437ED">
              <w:rPr>
                <w:rFonts w:ascii="Times New Roman" w:hAnsi="Times New Roman" w:cs="Times New Roman"/>
                <w:b/>
                <w:sz w:val="26"/>
              </w:rPr>
              <w:lastRenderedPageBreak/>
              <w:t>Điều 7. Kiến trúc kỹ thuật, tích hợp và khả năng kiểm soát hệ thống</w:t>
            </w:r>
          </w:p>
          <w:p w14:paraId="1AF645D9"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1. Việc thiết kế, xây dựng, tích hợp hệ thống trí tuệ nhân tạo phải bảo đảm khả năng kết nối, liên thông, chia sẻ, sử dụng lại dữ liệu; khả năng giám sát, ghi nhật ký, truy vết, giải trình, kiểm soát thay đổi; khả năng tạm dừng, khôi phục, thay thế, chuyển đổi, chấm dứt sử dụng hoặc chuyển giao hệ thống, dữ liệu, cấu hình và tài liệu kỹ thuật khi cần thiết.</w:t>
            </w:r>
          </w:p>
          <w:p w14:paraId="74E2445C"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 xml:space="preserve">2. Cơ quan chủ quản hệ thống trí tuệ nhân tạo có trách nhiệm bảo đảm việc tích hợp hệ thống trí tuệ nhân tạo với hệ thống thông tin chuyên ngành, hệ thống dùng chung của Thành phố trên cơ sở Khung kiến trúc số Thành phố, Khung kiến trúc tổng thể quốc gia số theo quy định tại Điều 37 Nghị định số 224/2026/NĐ-CP ngày 24 tháng 6 năm 2026 của </w:t>
            </w:r>
            <w:r w:rsidRPr="005437ED">
              <w:rPr>
                <w:rFonts w:ascii="Times New Roman" w:hAnsi="Times New Roman" w:cs="Times New Roman"/>
                <w:sz w:val="26"/>
              </w:rPr>
              <w:lastRenderedPageBreak/>
              <w:t>Chính phủ quy định chi tiết một số điều và biện pháp thi hành Luật Chuyển đổi số; bảo đảm an ninh mạng và tuân thủ nguyên tắc lấy dữ liệu làm trung tâm, dữ liệu được thu thập, quản lý, chia sẻ và khai thác một lần là yêu cầu mặc định quy định tại khoản 5 Điều 23 Nghị định số 224/2026/NĐ-CP, không làm phát sinh yêu cầu tổ chức, cá nhân cung cấp lại dữ liệu khi thực hiện dịch vụ công trực tuyến.</w:t>
            </w:r>
          </w:p>
          <w:p w14:paraId="276575E9"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3. Khi tích hợp hệ thống trí tuệ nhân tạo vào quy trình nghiệp vụ đang vận hành, cơ quan chủ quản hệ thống trí tuệ nhân tạo có trách nhiệm xác định tác động của việc tích hợp đối với quy trình xử lý công việc, thời hạn giải quyết công việc, trách nhiệm của cán bộ, công chức, viên chức, người lao động; quyền và lợi ích hợp pháp của tổ chức, cá nhân và khả năng chuyển sang quy trình xử lý thủ công khi hệ thống gặp sự cố. Đối với hệ thống tham gia trực tiếp vào quy trình giải quyết thủ tục hành chính hoặc cung cấp dịch vụ công, cơ quan, đơn vị phải xây dựng, thử nghiệm và duy trì phương án xử lý dự phòng; việc tạm dừng, hạn chế hoặc cô lập hệ thống không làm thay đổi thời hạn giải quyết thủ tục hành chính đã công bố và không làm phát sinh yêu cầu tổ chức, cá nhân nộp lại hồ sơ, dữ liệu đã cung cấp.</w:t>
            </w:r>
          </w:p>
          <w:p w14:paraId="7A69221D"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4. Cơ quan chủ quản hệ thống trí tuệ nhân tạo có trách nhiệm yêu cầu nhà cung cấp, nhà phát triển, đơn vị có liên quan bàn giao tài liệu kỹ thuật, tài liệu hướng dẫn sử dụng, quản lý, vận hành và các tài liệu khác liên quan đến hệ thống trí tuệ nhân tạo.</w:t>
            </w:r>
          </w:p>
          <w:p w14:paraId="2E4EB4C3"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 xml:space="preserve">5. Các yêu cầu tại khoản 1 Điều này phải được thể hiện thành điều khoản cụ thể trong hồ sơ mời thầu, hợp đồng mua </w:t>
            </w:r>
            <w:r w:rsidRPr="005437ED">
              <w:rPr>
                <w:rFonts w:ascii="Times New Roman" w:hAnsi="Times New Roman" w:cs="Times New Roman"/>
                <w:sz w:val="26"/>
              </w:rPr>
              <w:lastRenderedPageBreak/>
              <w:t>sắm, thuê dịch vụ, tối thiểu gồm: quyền tiếp cận và nhận bàn giao dữ liệu, cấu hình, tài liệu kỹ thuật ở định dạng mở, đọc được bằng máy; nghĩa vụ hỗ trợ chuyển đổi, bàn giao khi chấm dứt hợp đồng; nghĩa vụ xóa hoặc hoàn trả dữ liệu sau khi kết thúc hợp đồng; cam kết không sử dụng dữ liệu của cơ quan, đơn vị để huấn luyện, tinh chỉnh mô hình ngoài phạm vi hợp đồng nếu không được chấp thuận bằng văn bản.</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C796AFE"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lastRenderedPageBreak/>
              <w:t>Kế thừa cơ bản nội dung của Quyết định số 102/2026/QĐ-UBND ngày 21 tháng 7 năm 2026 của Ủy ban nhân dân thành phố Hà Nội.</w:t>
            </w:r>
          </w:p>
          <w:p w14:paraId="790A570E"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 xml:space="preserve">Đồng thời, các nội dung tại Điều này được xây dựng trên cơ sở quy định tại khoản 1 Điều 16, khoản 2, khoản 3 Điều 27, điểm c khoản 1 Điều 14 Luật Trí tuệ nhân tạo, khoản 3, khoản 6 Điều 8 Luật Chuyển đổi số, Điều 17 Luật Dữ liệu và Điều 20 Nghị định số 142/2026/NĐ-CP. </w:t>
            </w:r>
          </w:p>
          <w:p w14:paraId="1CBAAA8D"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Điểm mới: dự thảo quy định chi tiết hơn, dẫn chiếu cụ thể đến Điều 7, Điều 37 và khoản 5 Điều 23 Nghị định số 224/2026/NĐ-</w:t>
            </w:r>
            <w:r w:rsidRPr="005437ED">
              <w:rPr>
                <w:rFonts w:ascii="Times New Roman" w:eastAsia="Times New Roman;Times New Roman" w:hAnsi="Times New Roman" w:cs="Times New Roman"/>
                <w:sz w:val="26"/>
                <w:szCs w:val="26"/>
              </w:rPr>
              <w:lastRenderedPageBreak/>
              <w:t>CP (Khung kiến trúc tổng thể quốc gia số, nguyên tắc dữ liệu thu thập một lần) nhằm cụ thể hóa sự cần thiết đối với các quy định hiện hành và phù hợp với thẩm quyền quy định chi tiết của địa phương.</w:t>
            </w:r>
          </w:p>
          <w:p w14:paraId="402D9D71"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Tiếp thu ý kiến thẩm định của Sở Tư pháp (Báo cáo số 12179/BC-STP ngày 18/9/2026, mục 8.1): rà soát cách viện dẫn văn bản tại khoản 2.</w:t>
            </w:r>
          </w:p>
          <w:p w14:paraId="30FDD710"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Tiếp thu Bản góp ý của Nhóm chuyên môn – Trường Đại học Luật Thành phố Hồ Chí Minh (mục 4, đoạn 5, 6, 11; mục 8): khoản 2 bỏ dẫn chiếu Điều 7 Nghị định số 224/2026/NĐ-CP; khoản 3 bổ sung phương án dự phòng; bổ sung khoản 5 (điều khoản bắt buộc trong hồ sơ mời thầu, hợp đồng).</w:t>
            </w:r>
          </w:p>
        </w:tc>
      </w:tr>
      <w:tr w:rsidR="008D3830" w:rsidRPr="005437ED" w14:paraId="1B5DB873"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72A3758"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lastRenderedPageBreak/>
              <w:t>Khoản 1 Điều 16 Luật Trí tuệ nhân tạo số 134/2025/QH15;</w:t>
            </w:r>
          </w:p>
          <w:p w14:paraId="299A130C"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khoản 3, khoản 6 Điều 8 Luật Chuyển đổi số số 148/2025/QH15; </w:t>
            </w:r>
          </w:p>
          <w:p w14:paraId="16D97260"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Điều 17 Luật Dữ liệu số 60/2024/QH15.</w:t>
            </w:r>
          </w:p>
          <w:p w14:paraId="2F059D80"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Điều 7, Điều 37, khoản 5 Điều 23 Nghị định số 224/2026/NĐ-CP; </w:t>
            </w:r>
          </w:p>
          <w:p w14:paraId="0577FC10"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khoản 2, khoản 3 Điều 27 Luật Trí tuệ nhân tạo số 134/2025/QH15; </w:t>
            </w:r>
          </w:p>
          <w:p w14:paraId="670DAD01"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Điều 20 Nghị định số 142/2026/NĐ-CP; </w:t>
            </w:r>
          </w:p>
          <w:p w14:paraId="12B2EC3D"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 xml:space="preserve">điểm c khoản 1 Điều 14 Luật Trí tuệ nhân tạo số </w:t>
            </w:r>
            <w:r w:rsidRPr="005437ED">
              <w:rPr>
                <w:rFonts w:ascii="Times New Roman" w:eastAsia="Times New Roman;Times New Roman" w:hAnsi="Times New Roman" w:cs="Times New Roman"/>
                <w:sz w:val="26"/>
                <w:szCs w:val="26"/>
              </w:rPr>
              <w:lastRenderedPageBreak/>
              <w:t>134/2025/QH15.</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51D90B6" w14:textId="77777777" w:rsidR="008D3830" w:rsidRPr="005437ED" w:rsidRDefault="00000000">
            <w:pPr>
              <w:spacing w:after="60"/>
              <w:rPr>
                <w:rFonts w:ascii="Times New Roman" w:hAnsi="Times New Roman" w:cs="Times New Roman"/>
              </w:rPr>
            </w:pPr>
            <w:r w:rsidRPr="005437ED">
              <w:rPr>
                <w:rFonts w:ascii="Times New Roman" w:hAnsi="Times New Roman" w:cs="Times New Roman"/>
                <w:b/>
                <w:sz w:val="26"/>
              </w:rPr>
              <w:lastRenderedPageBreak/>
              <w:t>Điều 8. Sử dụng và kiểm soát rủi ro đối với trí tuệ nhân tạo mã nguồn mở</w:t>
            </w:r>
          </w:p>
          <w:p w14:paraId="0A458AEF"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1. Thành phố khuyến khích việc nghiên cứu, thử nghiệm, phát triển, tích hợp và sử dụng trí tuệ nhân tạo mã nguồn mở trong hệ thống trí tuệ nhân tạo phục vụ quản lý nhà nước, cung cấp dịch vụ công và hoạt động công vụ phù hợp với quy định của pháp luật, yêu cầu bảo đảm an ninh, bảo vệ dữ liệu và quyền sở hữu trí tuệ.</w:t>
            </w:r>
          </w:p>
          <w:p w14:paraId="28EFAD32"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2. Cơ quan chủ quản hệ thống trí tuệ nhân tạo xem xét sử dụng trí tuệ nhân tạo mã nguồn mở khi đáp ứng yêu cầu về mục tiêu sử dụng, hiệu quả kỹ thuật, an ninh mạng, bảo vệ dữ liệu, sở hữu trí tuệ, khả năng duy trì, vận hành, thay thế và các quy định của pháp luật có liên quan.</w:t>
            </w:r>
          </w:p>
          <w:p w14:paraId="0DD41DC0"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 xml:space="preserve">3. Việc lựa chọn, tích hợp, điều chỉnh, huấn luyện lại hoặc phân phối lại trí tuệ nhân tạo mã nguồn mở phải được rà soát về nguồn gốc, tính pháp lý, thành phần phụ thuộc, lỗ hổng bảo mật, dữ liệu huấn luyện, khả năng duy trì, khả năng thay thế, khả năng chuyển đổi và rủi ro vận hành trong hoạt động. Cơ quan chủ quản hệ thống trí tuệ nhân tạo lập và duy trì danh mục thành phần phần mềm của hệ thống; theo dõi, cập </w:t>
            </w:r>
            <w:r w:rsidRPr="005437ED">
              <w:rPr>
                <w:rFonts w:ascii="Times New Roman" w:hAnsi="Times New Roman" w:cs="Times New Roman"/>
                <w:sz w:val="26"/>
              </w:rPr>
              <w:lastRenderedPageBreak/>
              <w:t>nhật lỗ hổng bảo mật trong suốt thời gian sử dụng; rà soát nghĩa vụ phát sinh từ giấy phép nguồn mở khi sửa đổi, tích hợp, phân phối lại.</w:t>
            </w:r>
          </w:p>
          <w:p w14:paraId="1D860646"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4. Cơ quan chủ quản hệ thống trí tuệ nhân tạo được khuyến khích chủ động kiểm thử, đánh giá rủi ro trước khi đưa hệ thống trí tuệ nhân tạo có sử dụng trí tuệ nhân tạo mã nguồn mở vào vận hành chính thức phục vụ quản lý nhà nước, cung cấp dịch vụ công. Đối với hệ thống trí tuệ nhân tạo xử lý dữ liệu quan trọng, hệ thống số, nền tảng số hoặc dịch vụ số ứng dụng trí tuệ nhân tạo chưa sẵn có trên thị trường hoặc dự án chưa có tiền lệ, khuyến khích thử nghiệm trong môi trường có kiểm soát theo quy định của pháp luật. Việc đánh giá sự phù hợp đối với hệ thống trí tuệ nhân tạo có rủi ro cao thực hiện theo quy định của Luật Trí tuệ nhân tạo số 134/2025/QH15; việc bảo đảm an ninh mạng thực hiện theo quy định của pháp luật về an ninh mạng; khoản này không đặt thêm điều kiện đối với việc đưa hệ thống vào vận hành chính thức. Trường hợp hoạt động thử nghiệm có kiểm soát có đề xuất hỗ trợ chi phí từ nguồn ngân sách nhà nước thì thực hiện theo quy định tại Điều 33 hoặc điểm h khoản 7 Điều 34 Nghị định số 224/2026/NĐ-CP.</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9AB75C2"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lastRenderedPageBreak/>
              <w:t>Kế thừa cơ bản nội dung của Quyết định số 102/2026/QĐ-UBND ngày 21 tháng 7 năm 2026 của Ủy ban nhân dân thành phố Hà Nội.</w:t>
            </w:r>
          </w:p>
          <w:p w14:paraId="01D17483"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 xml:space="preserve">Đồng thời, các nội dung tại Điều này được xây dựng trên cơ sở quy định </w:t>
            </w:r>
            <w:r w:rsidRPr="005437ED">
              <w:rPr>
                <w:rFonts w:ascii="Times New Roman" w:hAnsi="Times New Roman" w:cs="Times New Roman"/>
                <w:sz w:val="26"/>
                <w:szCs w:val="26"/>
              </w:rPr>
              <w:t xml:space="preserve">tại </w:t>
            </w:r>
            <w:r w:rsidRPr="005437ED">
              <w:rPr>
                <w:rFonts w:ascii="Times New Roman" w:eastAsia="Times New Roman;Times New Roman" w:hAnsi="Times New Roman" w:cs="Times New Roman"/>
                <w:sz w:val="26"/>
                <w:szCs w:val="26"/>
              </w:rPr>
              <w:t>khoản 1 Điều 18 Luật Trí tuệ nhân tạo.</w:t>
            </w:r>
          </w:p>
          <w:p w14:paraId="5B6F81AE"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hAnsi="Times New Roman" w:cs="Times New Roman"/>
                <w:sz w:val="26"/>
                <w:szCs w:val="26"/>
              </w:rPr>
            </w:pPr>
            <w:r w:rsidRPr="005437ED">
              <w:rPr>
                <w:rFonts w:ascii="Times New Roman" w:hAnsi="Times New Roman" w:cs="Times New Roman"/>
                <w:sz w:val="26"/>
                <w:szCs w:val="26"/>
              </w:rPr>
              <w:t xml:space="preserve">Điểm mới: </w:t>
            </w:r>
            <w:r w:rsidRPr="005437ED">
              <w:rPr>
                <w:rFonts w:ascii="Times New Roman" w:eastAsia="Times New Roman;Times New Roman" w:hAnsi="Times New Roman" w:cs="Times New Roman"/>
                <w:sz w:val="26"/>
                <w:szCs w:val="26"/>
              </w:rPr>
              <w:t xml:space="preserve">bổ sung phạm vi hệ thống số, nền tảng số, dịch vụ số chưa sẵn có trên thị trường hoặc dự án chưa có tiền lệ, và bổ sung cơ chế hỗ trợ chi phí thử nghiệm, </w:t>
            </w:r>
            <w:r w:rsidRPr="005437ED">
              <w:rPr>
                <w:rFonts w:ascii="Times New Roman" w:hAnsi="Times New Roman" w:cs="Times New Roman"/>
                <w:sz w:val="26"/>
                <w:szCs w:val="26"/>
              </w:rPr>
              <w:t>được quy định</w:t>
            </w:r>
            <w:r w:rsidRPr="005437ED">
              <w:rPr>
                <w:rFonts w:ascii="Times New Roman" w:eastAsia="Times New Roman;Times New Roman" w:hAnsi="Times New Roman" w:cs="Times New Roman"/>
                <w:sz w:val="26"/>
                <w:szCs w:val="26"/>
              </w:rPr>
              <w:t xml:space="preserve"> tại Điều 21 Luật Trí tuệ nhân tạo, Chương IV Nghị định số 142/2026/NĐ-CP về cơ chế thử nghiệm có kiểm soát, và tại điểm h khoản 7 Điều 34, Điều 33 Nghị định số 224/2026/NĐ-CP, Điều 28 Luật Chuyển đổi số về hỗ trợ chi phí thử nghiệm </w:t>
            </w:r>
            <w:r w:rsidRPr="005437ED">
              <w:rPr>
                <w:rFonts w:ascii="Times New Roman" w:hAnsi="Times New Roman" w:cs="Times New Roman"/>
                <w:sz w:val="26"/>
                <w:szCs w:val="26"/>
              </w:rPr>
              <w:t>cụ thể hóa các nội dung cần thiết trong quá trình triển khai.</w:t>
            </w:r>
          </w:p>
          <w:p w14:paraId="5FCEE3FA"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hAnsi="Times New Roman" w:cs="Times New Roman"/>
                <w:sz w:val="26"/>
                <w:szCs w:val="26"/>
              </w:rPr>
            </w:pPr>
            <w:r w:rsidRPr="005437ED">
              <w:rPr>
                <w:rFonts w:ascii="Times New Roman" w:hAnsi="Times New Roman" w:cs="Times New Roman"/>
                <w:sz w:val="26"/>
                <w:szCs w:val="26"/>
              </w:rPr>
              <w:t xml:space="preserve">Tiếp thu ý kiến thẩm định của Sở Tư pháp </w:t>
            </w:r>
            <w:r w:rsidRPr="005437ED">
              <w:rPr>
                <w:rFonts w:ascii="Times New Roman" w:hAnsi="Times New Roman" w:cs="Times New Roman"/>
                <w:sz w:val="26"/>
                <w:szCs w:val="26"/>
              </w:rPr>
              <w:lastRenderedPageBreak/>
              <w:t>(Báo cáo số 12179/BC-STP ngày 18/9/2026, mục 3.2.1): khoản 4 chuyển sang hướng khuyến khích kiểm thử, đánh giá rủi ro, thử nghiệm trong môi trường có kiểm soát; không đặt thêm điều kiện đối với việc đưa hệ thống vào vận hành chính thức; đánh giá sự phù hợp đối với hệ thống rủi ro cao dẫn chiếu Luật Trí tuệ nhân tạo.</w:t>
            </w:r>
          </w:p>
          <w:p w14:paraId="1F0CD0A7"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hAnsi="Times New Roman" w:cs="Times New Roman"/>
                <w:sz w:val="26"/>
                <w:szCs w:val="26"/>
              </w:rPr>
            </w:pPr>
            <w:r w:rsidRPr="005437ED">
              <w:rPr>
                <w:rFonts w:ascii="Times New Roman" w:hAnsi="Times New Roman" w:cs="Times New Roman"/>
                <w:sz w:val="26"/>
                <w:szCs w:val="26"/>
              </w:rPr>
              <w:t>Tiếp thu ý kiến thẩm định của Sở Tư pháp (Báo cáo số 12179/BC-STP ngày 18/9/2026, mục 8.1): thay cụm từ “Sandbox” bằng “môi trường có kiểm soát”; sửa cách viện dẫn “điểm h khoản 7 Điều 34 Nghị định số 224/2026/NĐ-CP”.</w:t>
            </w:r>
          </w:p>
          <w:p w14:paraId="49AD608C"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hAnsi="Times New Roman" w:cs="Times New Roman"/>
                <w:sz w:val="26"/>
                <w:szCs w:val="26"/>
              </w:rPr>
            </w:pPr>
            <w:r w:rsidRPr="005437ED">
              <w:rPr>
                <w:rFonts w:ascii="Times New Roman" w:hAnsi="Times New Roman" w:cs="Times New Roman"/>
                <w:sz w:val="26"/>
                <w:szCs w:val="26"/>
              </w:rPr>
              <w:t>Tiếp thu Bản góp ý của Nhóm chuyên môn – Trường Đại học Luật Thành phố Hồ Chí Minh (mục 4, đoạn 7, 8): khoản 3 bổ sung yêu cầu lập, duy trì danh mục thành phần phần mềm, theo dõi lỗ hổng trong vòng đời sử dụng, nghĩa vụ theo giấy phép nguồn mở.</w:t>
            </w:r>
          </w:p>
        </w:tc>
      </w:tr>
      <w:tr w:rsidR="008D3830" w:rsidRPr="005437ED" w14:paraId="113B28AD"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579C23B"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lastRenderedPageBreak/>
              <w:t xml:space="preserve">Khoản 1 Điều 16 Luật Trí tuệ nhân tạo số 134/2025/QH15; </w:t>
            </w:r>
          </w:p>
          <w:p w14:paraId="5B1D42F3"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khoản 3, khoản 6 Điều 8 Luật Chuyển đổi số số 148/2025/QH15; </w:t>
            </w:r>
          </w:p>
          <w:p w14:paraId="0C9E4550"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lastRenderedPageBreak/>
              <w:t>Điều 17 Luật Dữ liệu số 60/2024/QH15.</w:t>
            </w:r>
          </w:p>
          <w:p w14:paraId="2ED5CA28"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Điều 7, Điều 37, khoản 5 Điều 23 Nghị định số 224/2026/NĐ-CP; </w:t>
            </w:r>
          </w:p>
          <w:p w14:paraId="5AB92DEE"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khoản 2, khoản 3 Điều 27 Luật Trí tuệ nhân tạo số 134/2025/QH15; </w:t>
            </w:r>
          </w:p>
          <w:p w14:paraId="0D23F5A8"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Điều 20 Nghị định số 142/2026/NĐ-CP; </w:t>
            </w:r>
          </w:p>
          <w:p w14:paraId="3793DA9D"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điểm c khoản 1 Điều 14 Luật Trí tuệ nhân tạo số 134/2025/QH15.</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E3695CC" w14:textId="77777777" w:rsidR="008D3830" w:rsidRPr="005437ED" w:rsidRDefault="00000000">
            <w:pPr>
              <w:spacing w:after="60"/>
              <w:rPr>
                <w:rFonts w:ascii="Times New Roman" w:hAnsi="Times New Roman" w:cs="Times New Roman"/>
              </w:rPr>
            </w:pPr>
            <w:r w:rsidRPr="005437ED">
              <w:rPr>
                <w:rFonts w:ascii="Times New Roman" w:hAnsi="Times New Roman" w:cs="Times New Roman"/>
                <w:b/>
                <w:sz w:val="26"/>
              </w:rPr>
              <w:lastRenderedPageBreak/>
              <w:t>Điều 9. Bảo đảm an ninh mạng, bảo vệ dữ liệu</w:t>
            </w:r>
          </w:p>
          <w:p w14:paraId="4F1D8801"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 xml:space="preserve">1. Cơ quan chủ quản hệ thống trí tuệ nhân tạo có trách nhiệm bảo đảm an ninh mạng, bảo vệ dữ liệu cá nhân, dữ liệu quan trọng, dữ liệu chuyên ngành, bí mật công tác và thông tin thuộc phạm vi hạn chế tiếp cận trong quá trình quản lý, triển khai, vận hành, cập nhật và chấm dứt sử dụng hệ thống trí </w:t>
            </w:r>
            <w:r w:rsidRPr="005437ED">
              <w:rPr>
                <w:rFonts w:ascii="Times New Roman" w:hAnsi="Times New Roman" w:cs="Times New Roman"/>
                <w:sz w:val="26"/>
              </w:rPr>
              <w:lastRenderedPageBreak/>
              <w:t>tuệ nhân tạo theo quy định của pháp luật.</w:t>
            </w:r>
          </w:p>
          <w:p w14:paraId="3AF7607C"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2. Hệ thống trí tuệ nhân tạo có kết nối, tích hợp hoặc xử lý dữ liệu từ hệ thống thông tin, cơ sở dữ liệu thuộc phạm vi quản lý của Thành phố phải được kiểm soát truy cập, xác thực, phân quyền, sao lưu, phục hồi, giám sát, kiểm soát kết nối và tự động ghi nhật ký, mã hóa theo quy định của pháp luật, tiêu chuẩn, quy chuẩn kỹ thuật và hướng dẫn của cơ quan có thẩm quyền.</w:t>
            </w:r>
          </w:p>
          <w:p w14:paraId="3F3D51E2"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3. Nhật ký hệ thống gồm: (a) nhật ký kỹ thuật, ghi nhận thời điểm truy cập, tài khoản truy cập, thao tác, phiên bản hệ thống, mã tham chiếu hồ sơ và các tác vụ tự động được thực thi, áp dụng đối với mọi hệ thống, thời gian lưu trữ tối thiểu là 24 tháng kể từ thời điểm phát sinh; (b) nhật ký nội dung, ghi nhận dữ liệu đầu vào và kết quả đầu ra, áp dụng đối với hệ thống có rủi ro cao hoặc hệ thống có kết quả đầu ra được sử dụng làm căn cứ xử lý hồ sơ, ban hành quyết định hành chính, thời gian lưu trữ không ngắn hơn thời hiệu khiếu nại, khởi kiện đối với quyết định, hành vi hành chính có liên quan. Nhật ký phải bảo đảm tính toàn vẹn, chống chối bỏ và phát hiện được can thiệp trái phép, phục vụ công tác kiểm tra, thanh tra, kiểm toán và xác minh trách nhiệm khi xảy ra sự cố. Nhật ký nội dung và nhật ký chứa dữ liệu cá nhân hoặc bí mật kinh doanh phải được áp dụng biện pháp tối thiểu hóa dữ liệu, mã hóa, phân quyền truy cập riêng và xóa dữ liệu sau thời hạn lưu trữ.</w:t>
            </w:r>
          </w:p>
          <w:p w14:paraId="2E7B26F7"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 xml:space="preserve">4. Việc cấp quyền truy cập dữ liệu, hệ thống thông tin, API, công cụ xử lý, tài khoản quản trị hoặc môi trường vận hành cho hệ thống trí tuệ nhân tạo, nhà cung cấp, bên triển khai, </w:t>
            </w:r>
            <w:r w:rsidRPr="005437ED">
              <w:rPr>
                <w:rFonts w:ascii="Times New Roman" w:hAnsi="Times New Roman" w:cs="Times New Roman"/>
                <w:sz w:val="26"/>
              </w:rPr>
              <w:lastRenderedPageBreak/>
              <w:t>cá nhân hoặc đơn vị có liên quan phải bảo đảm đúng mục đích, đúng phạm vi, đúng thời hạn, quyền hạn, có khả năng thu hồi và truy vết.</w:t>
            </w:r>
          </w:p>
          <w:p w14:paraId="45929FBB"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5. Đối với hệ thống trí tuệ nhân tạo được triển khai trên hạ tầng, nền tảng, dịch vụ điện toán đám mây, dịch vụ phần mềm hoặc môi trường do bên thứ ba cung cấp, cơ quan chủ quản hệ thống trí tuệ nhân tạo có trách nhiệm kiểm tra điều kiện pháp lý, điều kiện bảo mật, vị trí lưu trữ dữ liệu, cơ chế truy cập, chuyển giao, xóa, sao lưu, phục hồi dữ liệu và trách nhiệm của đơn vị cung cấp trước khi sử dụng. Trường hợp phát sinh chuyển, xử lý dữ liệu xuyên biên giới, kể cả việc sử dụng nền tảng ở ngoài lãnh thổ Việt Nam để xử lý dữ liệu, thực hiện theo quy định của Luật Dữ liệu và Nghị định số 165/2025/NĐ-CP; không sử dụng dịch vụ có phát sinh chuyển, xử lý dữ liệu xuyên biên giới đối với dữ liệu cốt lõi, dữ liệu quan trọng khi chưa hoàn thành đánh giá tác động theo quy định.</w:t>
            </w:r>
          </w:p>
          <w:p w14:paraId="2506A625"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6. Khi hệ thống trí tuệ nhân tạo có dấu hiệu bị tấn công, khai thác trái phép, rò rỉ dữ liệu, mất dữ liệu, mất quyền kiểm soát dữ liệu và mô hình, chiếm quyền điều khiển hoặc phát sinh hành vi bất thường, cơ quan chủ quản hệ thống trí tuệ nhân tạo kịp thời phối hợp với cơ quan có thẩm quyền để xử lý theo quy định tại điểm e khoản 1 Điều 3 Thông tư số 05/2026/TT-BKHCN của Bộ trưởng Bộ Khoa học và Công nghệ ban hành Khung đạo đức trí tuệ nhân tạo quốc gia.</w:t>
            </w:r>
          </w:p>
          <w:p w14:paraId="0B20B1C9"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 xml:space="preserve">7. Việc cung cấp giải pháp, hệ thống trí tuệ nhân tạo cho cơ quan, đơn vị thuộc Thành phố không mặc nhiên chuyển giao quyền sở hữu mã nguồn, mô hình, dữ liệu huấn luyện của tổ </w:t>
            </w:r>
            <w:r w:rsidRPr="005437ED">
              <w:rPr>
                <w:rFonts w:ascii="Times New Roman" w:hAnsi="Times New Roman" w:cs="Times New Roman"/>
                <w:sz w:val="26"/>
              </w:rPr>
              <w:lastRenderedPageBreak/>
              <w:t>chức, doanh nghiệp cung cấp; dữ liệu do tổ chức, cá nhân cung cấp để giải quyết thủ tục hành chính không mặc nhiên được sử dụng để huấn luyện hệ thống trí tuệ nhân tạo khác.</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051256B"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lastRenderedPageBreak/>
              <w:t>Kế thừa cơ bản nội dung của Quyết định số 102/2026/QĐ-UBND ngày 21 tháng 7 năm 2026 của Ủy ban nhân dân thành phố Hà Nội.</w:t>
            </w:r>
          </w:p>
          <w:p w14:paraId="44153298"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 xml:space="preserve">Đồng thời, các nội dung tại Điều này được xây dựng trên cơ sở quy định tại Luật An ninh mạng, Luật Chuyển đổi số, Luật Bảo vệ </w:t>
            </w:r>
            <w:r w:rsidRPr="005437ED">
              <w:rPr>
                <w:rFonts w:ascii="Times New Roman" w:eastAsia="Times New Roman;Times New Roman" w:hAnsi="Times New Roman" w:cs="Times New Roman"/>
                <w:sz w:val="26"/>
                <w:szCs w:val="26"/>
              </w:rPr>
              <w:lastRenderedPageBreak/>
              <w:t xml:space="preserve">dữ liệu cá nhân, khoản 6 Điều 3, Điều 16, Điều 22 Luật Dữ liệu, Điều 23 Luật Chuyển đổi số, Điều 14 Luật Dữ liệu và điểm c khoản 1 Điều 14 Luật Trí tuệ nhân tạo. </w:t>
            </w:r>
          </w:p>
          <w:p w14:paraId="7C42B7F3"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Điểm mới: khoản 6 (phối hợp xử lý khi hệ thống có dấu hiệu bị tấn công, rò rỉ dữ liệu) được dự thảo quy định chi tiết và dẫn chiếu trực tiếp điểm e khoản 1 Điều 3 Thông tư số 05/2026/TT-BKHCN.</w:t>
            </w:r>
          </w:p>
          <w:p w14:paraId="2697DF7D"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Tiếp thu ý kiến của Liên đoàn Thương mại và Công nghiệp Việt Nam Chi nhánh khu vực Thành phố Hồ Chí Minh (Công văn số 331/CNHCM-PCCO ngày 10/9/2026): khoản 3 bổ sung yêu cầu tối thiểu hóa dữ liệu, mã hóa, phân quyền truy cập, xóa sau thời hạn đối với nhật ký chứa dữ liệu cá nhân, bí mật kinh doanh; bổ sung khoản 7 về không mặc nhiên chuyển giao quyền sở hữu mã nguồn, mô hình, dữ liệu huấn luyện.</w:t>
            </w:r>
          </w:p>
          <w:p w14:paraId="2B657BC7"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Tiếp thu ý kiến thẩm định của Sở Tư pháp (Báo cáo số 12179/BC-STP ngày 18/9/2026, mục 8.1): khoản 6 viện dẫn đầy đủ Thông tư số 05/2026/TT-BKHCN.</w:t>
            </w:r>
          </w:p>
          <w:p w14:paraId="6F4A5210"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 xml:space="preserve">Tiếp thu Bản góp ý của Nhóm chuyên môn – Trường Đại học Luật Thành phố Hồ Chí Minh (mục 4, đoạn 9, 10): khoản 3 tách nhật ký kỹ thuật và nhật ký nội dung, thay yêu cầu </w:t>
            </w:r>
            <w:r w:rsidRPr="005437ED">
              <w:rPr>
                <w:rFonts w:ascii="Times New Roman" w:eastAsia="Times New Roman;Times New Roman" w:hAnsi="Times New Roman" w:cs="Times New Roman"/>
                <w:sz w:val="26"/>
                <w:szCs w:val="26"/>
              </w:rPr>
              <w:lastRenderedPageBreak/>
              <w:t>“không thể chỉnh sửa” bằng yêu cầu toàn vẹn, chống chối bỏ; khoản 5 bổ sung dẫn chiếu chuyển, xử lý dữ liệu xuyên biên giới theo Luật Dữ liệu và Nghị định số 165/2025/NĐ-CP.</w:t>
            </w:r>
          </w:p>
        </w:tc>
      </w:tr>
      <w:tr w:rsidR="008D3830" w:rsidRPr="005437ED" w14:paraId="61B5BB21"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259427E0"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lastRenderedPageBreak/>
              <w:t xml:space="preserve">Khoản 1 Điều 16 Luật Trí tuệ nhân tạo số 134/2025/QH15; </w:t>
            </w:r>
          </w:p>
          <w:p w14:paraId="3FCA8A9A"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khoản 3, khoản 6 Điều 8 Luật Chuyển đổi số số 148/2025/QH15; </w:t>
            </w:r>
          </w:p>
          <w:p w14:paraId="583401B2"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Điều 17 Luật Dữ liệu số 60/2024/QH15.</w:t>
            </w:r>
          </w:p>
          <w:p w14:paraId="5E31FC01"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Điều 7, Điều 37, khoản 5 Điều 23 Nghị định số 224/2026/NĐ-CP; </w:t>
            </w:r>
          </w:p>
          <w:p w14:paraId="3E9D933F"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khoản 2, khoản 3 Điều 27 Luật Trí tuệ nhân tạo số 134/2025/QH15; </w:t>
            </w:r>
          </w:p>
          <w:p w14:paraId="3E26AC68"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Điều 20 Nghị định số 142/2026/NĐ-CP; </w:t>
            </w:r>
          </w:p>
          <w:p w14:paraId="6CB0E76C"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điểm c khoản 1 Điều 14 Luật Trí tuệ nhân tạo số 134/2025/QH15.</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9AB0BAD" w14:textId="77777777" w:rsidR="008D3830" w:rsidRPr="005437ED" w:rsidRDefault="00000000">
            <w:pPr>
              <w:spacing w:after="60"/>
              <w:rPr>
                <w:rFonts w:ascii="Times New Roman" w:hAnsi="Times New Roman" w:cs="Times New Roman"/>
              </w:rPr>
            </w:pPr>
            <w:r w:rsidRPr="005437ED">
              <w:rPr>
                <w:rFonts w:ascii="Times New Roman" w:hAnsi="Times New Roman" w:cs="Times New Roman"/>
                <w:b/>
                <w:sz w:val="26"/>
              </w:rPr>
              <w:t>Điều 10. Giám sát và xử lý sự cố</w:t>
            </w:r>
          </w:p>
          <w:p w14:paraId="11EBC5FD"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1. Cơ quan chủ quản hệ thống trí tuệ nhân tạo có trách nhiệm thiết lập cơ chế giám sát, can thiệp và phân quyền phù hợp với mục đích sử dụng, mức độ rủi ro, mức độ tự động hóa, phạm vi tác động của hệ thống phù hợp quy định của pháp luật chuyên ngành. Người được giao giám sát phải được cung cấp đầy đủ thông tin về chức năng, giới hạn, độ tin cậy và các rủi ro đã biết của hệ thống; được bố trí đủ thời gian và có thẩm quyền đánh giá độc lập, can thiệp hoặc bác bỏ kết quả đầu ra. Việc không sử dụng hoặc bác bỏ kết quả đầu ra có căn cứ không được sử dụng làm cơ sở đánh giá bất lợi về mức độ hoàn thành nhiệm vụ của người giám sát.</w:t>
            </w:r>
          </w:p>
          <w:p w14:paraId="1D174218"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2. Khi phát hiện hệ thống trí tuệ nhân tạo có nguy cơ gây thiệt hại đến quyền, lợi ích hợp pháp của tổ chức, cá nhân; vi phạm quy định pháp luật về trí tuệ nhân tạo, an ninh mạng, dữ liệu, cơ quan chủ quản hệ thống trí tuệ nhân tạo có trách nhiệm kịp thời tạm dừng, hạn chế, cô lập, khắc phục hoặc chấm dứt sử dụng chức năng, mô hình, dữ liệu, kết nối hệ thống có liên quan.</w:t>
            </w:r>
          </w:p>
          <w:p w14:paraId="204F5BA0"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 xml:space="preserve">3. Khi xảy ra sự cố liên quan đến hệ thống trí tuệ nhân tạo, cơ quan chủ quản hệ thống trí tuệ nhân tạo thực hiện việc ghi nhận, xác minh, phân loại sự cố; áp dụng biện pháp ngăn chặn bảo đảm hạn chế thiệt hại; bảo toàn nhật ký, dữ liệu, tài liệu; thông báo, báo cáo, phối hợp xử lý, khắc phục và phòng </w:t>
            </w:r>
            <w:r w:rsidRPr="005437ED">
              <w:rPr>
                <w:rFonts w:ascii="Times New Roman" w:hAnsi="Times New Roman" w:cs="Times New Roman"/>
                <w:sz w:val="26"/>
              </w:rPr>
              <w:lastRenderedPageBreak/>
              <w:t>ngừa tái diễn theo quy định của pháp luật. Việc xác định sự cố nghiêm trọng, thời hạn, nội dung, kênh báo cáo sơ bộ và báo cáo chính thức thực hiện theo quy định của Luật Trí tuệ nhân tạo và Nghị định số 142/2026/NĐ-CP, bao gồm quy định tại Điều 46 Nghị định số 142/2026/NĐ-CP trong thời gian cổng thông tin điện tử một cửa về trí tuệ nhân tạo chưa vận hành chính thức; đồng thời báo cáo Sở Khoa học và Công nghệ và Công an Thành phố để theo dõi. Việc báo cáo sơ bộ được thực hiện khi có đủ cơ sở thông tin ban đầu, không chờ kết quả xác định nguyên nhân kỹ thuật.</w:t>
            </w:r>
          </w:p>
          <w:p w14:paraId="1F7AD8DA"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4. Trách nhiệm giải trình khi xảy ra rủi ro, sự cố hoặc kết quả đầu ra của hệ thống trí tuệ nhân tạo thiếu khách quan, sai lệch, xâm phạm quyền và lợi ích hợp pháp của tổ chức, cá nhân được phân định cụ thể như sau:</w:t>
            </w:r>
          </w:p>
          <w:p w14:paraId="46DDE0DC"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a) Người có thẩm quyền ban hành quyết định hành chính, thực hiện hành vi hành chính chịu trách nhiệm về việc xem xét, sử dụng kết quả đầu ra của hệ thống trí tuệ nhân tạo; chủ quản hệ thống trí tuệ nhân tạo chịu trách nhiệm về tổ chức quản lý, phân loại rủi ro, kiểm soát rủi ro, bảo đảm điều kiện vận hành và chất lượng kết quả đầu ra của hệ thống trong phạm vi được giao;</w:t>
            </w:r>
          </w:p>
          <w:p w14:paraId="49084491"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b) Đơn vị vận hành hệ thống trí tuệ nhân tạo chịu trách nhiệm trong phạm vi quản lý tài khoản truy cập, tuân thủ quy trình nghiệp vụ nhập dữ liệu, bảo mật hệ thống và thực hiện các biện pháp cô lập, ngăn chặn sự cố kịp thời theo quy trình và hướng dẫn kỹ thuật;</w:t>
            </w:r>
          </w:p>
          <w:p w14:paraId="5D3B570D"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 xml:space="preserve">c) Trách nhiệm bồi thường thiệt hại do hệ thống trí tuệ nhân tạo gây ra, kể cả trường hợp hệ thống bị bên thứ ba xâm </w:t>
            </w:r>
            <w:r w:rsidRPr="005437ED">
              <w:rPr>
                <w:rFonts w:ascii="Times New Roman" w:hAnsi="Times New Roman" w:cs="Times New Roman"/>
                <w:sz w:val="26"/>
              </w:rPr>
              <w:lastRenderedPageBreak/>
              <w:t>nhập, chiếm quyền điều khiển, thực hiện theo quy định của Luật Trí tuệ nhân tạo; trường hợp thiệt hại gắn với quyết định hành chính, hành vi hành chính trái pháp luật thì thực hiện theo pháp luật về trách nhiệm bồi thường của Nhà nước. Trách nhiệm của tổ chức, doanh nghiệp cung cấp giải pháp công nghệ đối với cơ quan, đơn vị về tính chính xác kỹ thuật của thuật toán, lỗi mã nguồn, lỗ hổng bảo mật, sai lệch của mô hình và nghĩa vụ hoàn trả được xác định thành điều khoản bắt buộc của hợp đồng dịch vụ.</w:t>
            </w:r>
          </w:p>
          <w:p w14:paraId="48876889"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5. Khi sự cố làm sai lệch kết quả xử lý hồ sơ hoặc ảnh hưởng đến quyền, lợi ích hợp pháp của tổ chức, cá nhân, cơ quan, đơn vị có trách nhiệm rà soát, xác định phạm vi hồ sơ, dữ liệu đã chịu tác động; chủ động thông báo cho tổ chức, cá nhân bị ảnh hưởng; xem xét lại kết quả xử lý theo quy định của pháp luật và công bố biện pháp khắc phục.</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DC22F4E"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lastRenderedPageBreak/>
              <w:t>Kế thừa cơ bản nội dung của Quyết định số 102/2026/QĐ-UBND ngày 21 tháng 7 năm 2026 của Ủy ban nhân dân thành phố Hà Nội.</w:t>
            </w:r>
          </w:p>
          <w:p w14:paraId="6D9D8D83"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Đồng thời, các nội dung tại Điều này được xây dựng trên cơ sở quy định tại khoản 2 Điều 4 Luật Trí tuệ nhân tạo và điểm c khoản 1 Điều 3 Thông tư số 05/2026/TT-BKHCN; biện pháp tạm dừng, hạn chế, cô lập khi có nguy cơ gây thiệt hại (khoản 2) xây dựng trên cơ sở quy định tại điểm a khoản 2 Điều 12, khoản 2 Điều 35 Luật Trí tuệ nhân tạo và Điều 19 Nghị định số 142/2026/NĐ-CP; trình tự xử lý sự cố (khoản 3) xây dựng trên cơ sở quy định Điều 12 Luật Trí tuệ nhân tạo; việc phân định trách nhiệm giải trình của chủ quản hệ thống, đơn vị vận hành, tổ chức cung cấp giải pháp công nghệ (khoản 4) xây dựng trên cơ sở quy định tại khoản 2 Điều 27, khoản 2 và khoản 4 Điều 29 Luật Trí tuệ nhân tạo.</w:t>
            </w:r>
          </w:p>
          <w:p w14:paraId="504AD40C"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 xml:space="preserve">Tiếp thu Bản góp ý của Nhóm chuyên môn – Trường Đại học Luật Thành phố Hồ Chí Minh (mục 4, đoạn 11 đến đoạn 15): khoản 1 bổ sung chuẩn giám sát và bảo vệ người giám </w:t>
            </w:r>
            <w:r w:rsidRPr="005437ED">
              <w:rPr>
                <w:rFonts w:ascii="Times New Roman" w:eastAsia="Times New Roman;Times New Roman" w:hAnsi="Times New Roman" w:cs="Times New Roman"/>
                <w:sz w:val="26"/>
                <w:szCs w:val="26"/>
              </w:rPr>
              <w:lastRenderedPageBreak/>
              <w:t>sát; khoản 3 dẫn chiếu chế độ báo cáo sự cố; điểm a khoản 4 tách trách nhiệm của người ra quyết định và chủ quản hệ thống; điểm c khoản 4 trách nhiệm bồi thường theo Luật Trí tuệ nhân tạo và pháp luật về trách nhiệm bồi thường của Nhà nước; bổ sung khoản 5 (xử lý hồ sơ đã chịu tác động của kết quả sai lệch).</w:t>
            </w:r>
          </w:p>
        </w:tc>
      </w:tr>
      <w:tr w:rsidR="008D3830" w:rsidRPr="005437ED" w14:paraId="01555136" w14:textId="77777777">
        <w:tc>
          <w:tcPr>
            <w:tcW w:w="14881" w:type="dxa"/>
            <w:gridSpan w:val="3"/>
            <w:tcBorders>
              <w:top w:val="single" w:sz="4" w:space="0" w:color="000000"/>
              <w:left w:val="single" w:sz="4" w:space="0" w:color="000000"/>
              <w:bottom w:val="single" w:sz="4" w:space="0" w:color="000000"/>
              <w:right w:val="single" w:sz="4" w:space="0" w:color="000000"/>
            </w:tcBorders>
            <w:shd w:val="clear" w:color="auto" w:fill="D9D9D9"/>
            <w:tcMar>
              <w:top w:w="100" w:type="dxa"/>
              <w:left w:w="100" w:type="dxa"/>
              <w:bottom w:w="100" w:type="dxa"/>
              <w:right w:w="100" w:type="dxa"/>
            </w:tcMar>
          </w:tcPr>
          <w:p w14:paraId="13D8DAF9" w14:textId="77777777" w:rsidR="008D3830" w:rsidRPr="005437ED" w:rsidRDefault="00000000">
            <w:pPr>
              <w:spacing w:before="120"/>
              <w:jc w:val="center"/>
              <w:rPr>
                <w:rFonts w:ascii="Times New Roman" w:hAnsi="Times New Roman" w:cs="Times New Roman"/>
                <w:sz w:val="26"/>
                <w:szCs w:val="26"/>
              </w:rPr>
            </w:pPr>
            <w:r w:rsidRPr="005437ED">
              <w:rPr>
                <w:rFonts w:ascii="Times New Roman" w:hAnsi="Times New Roman" w:cs="Times New Roman"/>
                <w:b/>
                <w:bCs/>
                <w:sz w:val="26"/>
                <w:szCs w:val="26"/>
              </w:rPr>
              <w:lastRenderedPageBreak/>
              <w:t xml:space="preserve">Chương III. </w:t>
            </w:r>
            <w:r w:rsidRPr="005437ED">
              <w:rPr>
                <w:rFonts w:ascii="Times New Roman" w:hAnsi="Times New Roman" w:cs="Times New Roman"/>
                <w:b/>
                <w:sz w:val="26"/>
                <w:szCs w:val="26"/>
              </w:rPr>
              <w:t>ỨNG DỤNG TRÍ TUỆ NHÂN TẠO TRONG QUẢN LÝ NHÀ NƯỚC</w:t>
            </w:r>
          </w:p>
        </w:tc>
      </w:tr>
      <w:tr w:rsidR="008D3830" w:rsidRPr="005437ED" w14:paraId="569D833E"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119346C"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Khoản 5 Điều 5 Luật Trí tuệ nhân tạo số 134/2025/QH15; </w:t>
            </w:r>
          </w:p>
          <w:p w14:paraId="7EFCE8BA"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Điều 4 Luật Trí tuệ nhân tạo số 134/2025/QH15; </w:t>
            </w:r>
          </w:p>
          <w:p w14:paraId="4779168A"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khoản 2 Điều 27 Luật Trí tuệ nhân tạo số 134/2025/QH15; </w:t>
            </w:r>
          </w:p>
          <w:p w14:paraId="0B62866D"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khoản 6 Điều 20 Nghị định số 142/2026/NĐ-CP.</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DCBB25A" w14:textId="77777777" w:rsidR="008D3830" w:rsidRPr="005437ED" w:rsidRDefault="00000000">
            <w:pPr>
              <w:spacing w:after="60"/>
              <w:rPr>
                <w:rFonts w:ascii="Times New Roman" w:hAnsi="Times New Roman" w:cs="Times New Roman"/>
              </w:rPr>
            </w:pPr>
            <w:r w:rsidRPr="005437ED">
              <w:rPr>
                <w:rFonts w:ascii="Times New Roman" w:hAnsi="Times New Roman" w:cs="Times New Roman"/>
                <w:b/>
                <w:sz w:val="26"/>
              </w:rPr>
              <w:t>Điều 11. Nguyên tắc ứng dụng trí tuệ nhân tạo trong quản lý nhà nước</w:t>
            </w:r>
          </w:p>
          <w:p w14:paraId="6A860DB8"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1. Việc ứng dụng hệ thống trí tuệ nhân tạo trong quản lý nhà nước, cung cấp dịch vụ công và hoạt động công vụ phải phục vụ mục tiêu nâng cao hiệu quả quản lý, chất lượng phục vụ người dân, doanh nghiệp, hiệu quả sử dụng nguồn lực công và năng lực chỉ đạo, điều hành của cơ quan nhà nước.</w:t>
            </w:r>
          </w:p>
          <w:p w14:paraId="33C942AE"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 xml:space="preserve">2. Hệ thống trí tuệ nhân tạo chỉ được ứng dụng khi xác định rõ mục tiêu, căn cứ pháp lý, phạm vi sử dụng, dữ liệu sử </w:t>
            </w:r>
            <w:r w:rsidRPr="005437ED">
              <w:rPr>
                <w:rFonts w:ascii="Times New Roman" w:hAnsi="Times New Roman" w:cs="Times New Roman"/>
                <w:sz w:val="26"/>
              </w:rPr>
              <w:lastRenderedPageBreak/>
              <w:t>dụng, cơ quan chủ quản, đơn vị vận hành, người chịu trách nhiệm và biện pháp kiểm soát rủi ro tương ứng.</w:t>
            </w:r>
          </w:p>
          <w:p w14:paraId="4B0FEA32"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3. Việc ứng dụng hệ thống trí tuệ nhân tạo không làm thay đổi thẩm quyền, trách nhiệm của cơ quan trong hoạt động quản lý nhà nước, giải quyết thủ tục hành chính, cung cấp dịch vụ công, ban hành văn bản, quyết định hành chính và xử lý công việc. Kết quả đầu ra của hệ thống trí tuệ nhân tạo không được sử dụng là căn cứ pháp lý độc lập để ban hành quyết định hành chính, xử lý hồ sơ, kết luận thanh tra, kiểm tra, xử phạt vi phạm hành chính hoặc hạn chế quyền, lợi ích hợp pháp của tổ chức, cá nhân.</w:t>
            </w:r>
          </w:p>
          <w:p w14:paraId="3C9869F7"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4. Chủ quản hệ thống trí tuệ nhân tạo có trách nhiệm ưu tiên ứng dụng hệ thống có khả năng hỗ trợ tổng hợp, phân tích, khuyến nghị, dự báo, tối ưu hóa quy trình trong xử lý công việc.</w:t>
            </w:r>
          </w:p>
          <w:p w14:paraId="3E25EE7D"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5. Người đứng đầu cơ quan, đơn vị triển khai tổ chức kiểm tra việc đáp ứng các điều kiện quy định tại khoản 2 Điều này và quyết định sử dụng hệ thống trong phạm vi thẩm quyền; hồ sơ kiểm tra, gồm kết quả kiểm thử trong điều kiện dự kiến sử dụng, phương án xử lý khi hệ thống không đáp ứng yêu cầu và các tài liệu đánh giá theo quy định của pháp luật, được tích hợp vào hồ sơ quản lý quy định tại khoản 4 Điều 6 Quy định này. Quyết định sử dụng nội bộ không thay thế việc đánh giá sự phù hợp, đánh giá tác động hoặc thủ tục khác thuộc thẩm quyền của cơ quan có thẩm quyền.</w:t>
            </w:r>
          </w:p>
          <w:p w14:paraId="503B0F5F"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 xml:space="preserve">6. Cơ quan, đơn vị triển khai thực hiện đánh giá tác động việc sử dụng hệ thống trí tuệ nhân tạo trong các trường hợp theo quy định của Luật Trí tuệ nhân tạo và Nghị định số </w:t>
            </w:r>
            <w:r w:rsidRPr="005437ED">
              <w:rPr>
                <w:rFonts w:ascii="Times New Roman" w:hAnsi="Times New Roman" w:cs="Times New Roman"/>
                <w:sz w:val="26"/>
              </w:rPr>
              <w:lastRenderedPageBreak/>
              <w:t>142/2026/NĐ-CP trước khi đưa hệ thống vào sử dụng. Việc rà soát, đánh giá định kỳ quy định tại khoản 4 Điều 12 Quy định này không thay thế nghĩa vụ đánh giá tác động.</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4C980D0"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lastRenderedPageBreak/>
              <w:t>Kế thừa cơ bản nội dung của Quyết định số 102/2026/QĐ-UBND ngày 21 tháng 7 năm 2026 của Ủy ban nhân dân thành phố Hà Nội.</w:t>
            </w:r>
          </w:p>
          <w:p w14:paraId="415F621C"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 xml:space="preserve">Đồng thời, các nội dung tại Điều này được xây dựng trên cơ sở quy định tại Điều 4, khoản 5 Điều 5, khoản 2 Điều 27 Luật Trí tuệ nhân tạo, khoản 6 Điều 20 Nghị định số 142/2026/NĐ-CP. </w:t>
            </w:r>
          </w:p>
          <w:p w14:paraId="0343AF02"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 xml:space="preserve">Tiếp thu Bản góp ý của Nhóm chuyên môn </w:t>
            </w:r>
            <w:r w:rsidRPr="005437ED">
              <w:rPr>
                <w:rFonts w:ascii="Times New Roman" w:eastAsia="Times New Roman;Times New Roman" w:hAnsi="Times New Roman" w:cs="Times New Roman"/>
                <w:sz w:val="26"/>
                <w:szCs w:val="26"/>
              </w:rPr>
              <w:lastRenderedPageBreak/>
              <w:t>– Trường Đại học Luật Thành phố Hồ Chí Minh (mục 5, đoạn 1, 2): bổ sung khoản 5 (kiểm tra điều kiện, quyết định sử dụng, tích hợp hồ sơ) và khoản 6 (đánh giá tác động theo pháp luật về trí tuệ nhân tạo).</w:t>
            </w:r>
          </w:p>
        </w:tc>
      </w:tr>
      <w:tr w:rsidR="008D3830" w:rsidRPr="005437ED" w14:paraId="097A9AC6"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3C0BF1C"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lastRenderedPageBreak/>
              <w:t xml:space="preserve">Khoản 5 Điều 5 Luật Trí tuệ nhân tạo số 134/2025/QH15; </w:t>
            </w:r>
          </w:p>
          <w:p w14:paraId="447080FE"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Điều 32 Luật Chuyển đổi số số 148/2025/QH15; </w:t>
            </w:r>
          </w:p>
          <w:p w14:paraId="2B1178CD"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khoản 2 Điều 27, khoản 2, khoản 3 Điều 4 Luật Trí tuệ nhân tạo số 134/2025/QH15; </w:t>
            </w:r>
          </w:p>
          <w:p w14:paraId="585412DC"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điểm b khoản 2 Điều 3 Thông tư số 05/2026/TT-BKHCN; </w:t>
            </w:r>
          </w:p>
          <w:p w14:paraId="2C645937"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điểm đ khoản 1 Điều 4 Luật Bảo vệ dữ liệu cá nhân số 91/2025/QH15; </w:t>
            </w:r>
          </w:p>
          <w:p w14:paraId="20BF5DE9"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Chương III Nghị định số 142/2026/NĐ-CP; </w:t>
            </w:r>
          </w:p>
          <w:p w14:paraId="68827FB2"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Điều 11 Luật Trí tuệ nhân tạo số 134/2025/QH15.</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169B783" w14:textId="77777777" w:rsidR="008D3830" w:rsidRPr="005437ED" w:rsidRDefault="00000000">
            <w:pPr>
              <w:spacing w:after="60"/>
              <w:rPr>
                <w:rFonts w:ascii="Times New Roman" w:hAnsi="Times New Roman" w:cs="Times New Roman"/>
              </w:rPr>
            </w:pPr>
            <w:r w:rsidRPr="005437ED">
              <w:rPr>
                <w:rFonts w:ascii="Times New Roman" w:hAnsi="Times New Roman" w:cs="Times New Roman"/>
                <w:b/>
                <w:sz w:val="26"/>
              </w:rPr>
              <w:t>Điều 12. Ứng dụng trí tuệ nhân tạo trong dịch vụ công và quy trình hành chính</w:t>
            </w:r>
          </w:p>
          <w:p w14:paraId="7FB21359"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1. Hệ thống trí tuệ nhân tạo được ứng dụng để hỗ trợ cải cách hành chính, giải quyết thủ tục hành chính, cung cấp dịch vụ công, tiếp nhận, phân loại, tổng hợp, phân tích, trả lời hướng dẫn, cảnh báo rủi ro, phát hiện bất thường và nâng cao chất lượng phục vụ người dân, doanh nghiệp.</w:t>
            </w:r>
          </w:p>
          <w:p w14:paraId="6D9D39C9"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2. Hệ thống trí tuệ nhân tạo không được tự động từ chối, đình chỉ, thu hồi, hạn chế quyền tiếp cận dịch vụ công, hỗ trợ từ ngân sách nhà nước hoặc nguồn lực công.</w:t>
            </w:r>
          </w:p>
          <w:p w14:paraId="43BEC8FC"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3. Khi hệ thống trí tuệ nhân tạo được sử dụng để phân loại hồ sơ, xếp hạng rủi ro, chấm điểm, lập danh sách ưu tiên hoặc danh sách cần kiểm tra, cơ quan chủ quản hệ thống trí tuệ nhân tạo phải bảo đảm khả năng kiểm tra, truy vết, xem xét lại bởi con người theo quy định của pháp luật. Cơ quan chủ quản hệ thống trí tuệ nhân tạo xác định và lưu giữ mục đích, tiêu chí, nguồn dữ liệu, phiên bản hệ thống, thời điểm xử lý và người kiểm tra kết quả; kết quả phải cho phép người có trách nhiệm kiểm tra và khắc phục; cung cấp giải thích phù hợp về dữ liệu và yếu tố chính ảnh hưởng đến việc xử lý hồ sơ, bảo đảm các giới hạn bảo mật theo quy định của pháp luật.</w:t>
            </w:r>
          </w:p>
          <w:p w14:paraId="093133DB"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 xml:space="preserve">4. Chủ quản hệ thống trí tuệ nhân tạo có trách nhiệm tổ chức rà soát, đánh giá định kỳ theo mức độ rủi ro, tần suất thay </w:t>
            </w:r>
            <w:r w:rsidRPr="005437ED">
              <w:rPr>
                <w:rFonts w:ascii="Times New Roman" w:hAnsi="Times New Roman" w:cs="Times New Roman"/>
                <w:sz w:val="26"/>
              </w:rPr>
              <w:lastRenderedPageBreak/>
              <w:t>đổi mô hình, dữ liệu, mục đích sử dụng và mức độ tác động của hệ thống về độ chính xác, tính tin cậy và nguy cơ thiếu khách quan, phân biệt đối xử của thuật toán; đối với hệ thống có rủi ro cao, thực hiện rà soát, đánh giá tối thiểu 06 tháng một lần. Trên cơ sở phân tích đánh giá, Chủ quản hệ thống trí tuệ nhân tạo tạm dừng hoạt động của hệ thống để khắc phục nếu cần thiết.</w:t>
            </w:r>
          </w:p>
          <w:p w14:paraId="3F9F16E6"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5. Tổ chức, cá nhân chịu tác động bởi việc sử dụng hệ thống trí tuệ nhân tạo trong cung cấp dịch vụ công và quy trình hành chính được thực hiện quyền phản ánh, kiến nghị, khiếu nại, tố cáo hoặc yêu cầu xem xét lại theo quy định của pháp luật. Cơ quan chủ quản hệ thống trí tuệ nhân tạo có trách nhiệm công khai đầu mối, hình thức tiếp nhận phản ánh, kiến nghị của tổ chức, cá nhân liên quan đến sai sót hoặc quyết định hành chính có sự can thiệp, hỗ trợ từ hệ thống trí tuệ nhân tạo để kịp thời xem xét, xử lý. Cơ quan chủ quản hệ thống trí tuệ nhân tạo công khai đầu mối tiếp nhận và cách thức để tổ chức, cá nhân yêu cầu giải thích về việc sử dụng trí tuệ nhân tạo liên quan đến hồ sơ của mình.</w:t>
            </w:r>
          </w:p>
          <w:p w14:paraId="553E5430"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6. Việc thông báo, minh bạch, gán nhãn kết quả đầu ra cho người dùng thực hiện theo quy định tại Chương III Nghị định số 142/2026/NĐ-CP. Cơ quan chủ quản hệ thống trí tuệ nhân tạo có trách nhiệm thông báo, thể hiện rõ dấu hiệu nhận biết để tổ chức, cá nhân biết khi đang tương tác trực tiếp với hệ thống trí tuệ nhân tạo tự động trong quá trình thực hiện dịch vụ công trực tuyến.</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3309F16"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lastRenderedPageBreak/>
              <w:t>Kế thừa cơ bản nội dung của Quyết định số 102/2026/QĐ-UBND ngày 21 tháng 7 năm 2026 của Ủy ban nhân dân thành phố Hà Nội.</w:t>
            </w:r>
          </w:p>
          <w:p w14:paraId="0B53ED2E"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Đồng thời, các nội dung tại Điều này được xây dựng trên cơ sở quy định tại khoản 2 Điều 4, khoản 3 Điều 4, khoản 5 Điều 5,  khoản 2 Điều 27 - Luật Trí tuệ nhân tạo; Điều 32 Luật Chuyển đổi số; điểm đ khoản 1 Điều 4 Luật Bảo vệ dữ liệu cá nhân; Chương III Nghị định số 142/2026/NĐ-CP; điểm b khoản 2 Điều 3 Thông tư số 05/2026/TT-BKHCN.</w:t>
            </w:r>
          </w:p>
          <w:p w14:paraId="2DBEBD8D"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Tiếp thu Bản góp ý của Nhóm chuyên môn – Trường Đại học Luật Thành phố Hồ Chí Minh (mục 5, đoạn 3, 4; mục 8): khoản 3 quy định nội dung thông tin được lưu giữ phục vụ kiểm tra, giải thích; khoản 5 bổ sung việc công khai đầu mối tiếp nhận yêu cầu giải thích.</w:t>
            </w:r>
          </w:p>
        </w:tc>
      </w:tr>
      <w:tr w:rsidR="008D3830" w:rsidRPr="005437ED" w14:paraId="24D5CA5B"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F905B85"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Khoản 2 Điều 27, khoản 2 </w:t>
            </w:r>
            <w:r w:rsidRPr="005437ED">
              <w:rPr>
                <w:rFonts w:ascii="Times New Roman" w:eastAsia="Times New Roman;Times New Roman" w:hAnsi="Times New Roman" w:cs="Times New Roman"/>
                <w:sz w:val="26"/>
                <w:szCs w:val="26"/>
              </w:rPr>
              <w:lastRenderedPageBreak/>
              <w:t xml:space="preserve">Điều 4, </w:t>
            </w:r>
          </w:p>
          <w:p w14:paraId="2013E2FF"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Điều 11 Luật Trí tuệ nhân tạo số 134/2025/QH15; </w:t>
            </w:r>
          </w:p>
          <w:p w14:paraId="35F816C5"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hAnsi="Times New Roman" w:cs="Times New Roman"/>
                <w:sz w:val="28"/>
                <w:szCs w:val="28"/>
              </w:rPr>
            </w:pPr>
            <w:r w:rsidRPr="005437ED">
              <w:rPr>
                <w:rFonts w:ascii="Times New Roman" w:eastAsia="Times New Roman;Times New Roman" w:hAnsi="Times New Roman" w:cs="Times New Roman"/>
                <w:sz w:val="26"/>
                <w:szCs w:val="26"/>
              </w:rPr>
              <w:t>khoản 2 Điều 16 Luật Dữ liệu số 60/2024/QH15.</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98E5E02" w14:textId="77777777" w:rsidR="008D3830" w:rsidRPr="005437ED" w:rsidRDefault="00000000">
            <w:pPr>
              <w:spacing w:after="60"/>
              <w:rPr>
                <w:rFonts w:ascii="Times New Roman" w:hAnsi="Times New Roman" w:cs="Times New Roman"/>
              </w:rPr>
            </w:pPr>
            <w:r w:rsidRPr="005437ED">
              <w:rPr>
                <w:rFonts w:ascii="Times New Roman" w:hAnsi="Times New Roman" w:cs="Times New Roman"/>
                <w:b/>
                <w:sz w:val="26"/>
              </w:rPr>
              <w:lastRenderedPageBreak/>
              <w:t xml:space="preserve">Điều 13. Ứng dụng trí tuệ nhân tạo tạo sinh và tác nhân </w:t>
            </w:r>
            <w:r w:rsidRPr="005437ED">
              <w:rPr>
                <w:rFonts w:ascii="Times New Roman" w:hAnsi="Times New Roman" w:cs="Times New Roman"/>
                <w:b/>
                <w:sz w:val="26"/>
              </w:rPr>
              <w:lastRenderedPageBreak/>
              <w:t>trí tuệ nhân tạo trong hoạt động công vụ</w:t>
            </w:r>
          </w:p>
          <w:p w14:paraId="35B92F6B"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1. Việc sử dụng trí tuệ nhân tạo tạo sinh và tác nhân trí tuệ nhân tạo trong hoạt động công vụ phải đúng mục đích, thẩm quyền, phạm vi nhiệm vụ; có kiểm tra, giám sát của con người; không sử dụng kết quả đầu ra của hệ thống làm căn cứ duy nhất để ban hành quyết định, kết luận hoặc thực hiện hành vi làm phát sinh, thay đổi, chấm dứt quyền, nghĩa vụ của tổ chức, cá nhân.</w:t>
            </w:r>
          </w:p>
          <w:p w14:paraId="1C5CFAA8"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2. Việc cấp quyền cho tác nhân trí tuệ nhân tạo phải tuân thủ nguyên tắc phân quyền tối thiểu, đúng mục đích, phạm vi, đúng thời hạn, có khả năng thu hồi, có khả năng truy vết và có người chịu trách nhiệm phê duyệt.</w:t>
            </w:r>
          </w:p>
          <w:p w14:paraId="3608D041"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3. Cơ quan, đơn vị thuộc Thành phố có trách nhiệm ban hành quy trình nội bộ về sử dụng trí tuệ nhân tạo tạo sinh, tác nhân trí tuệ nhân tạo trong hoạt động công vụ, trong đó xác định tối thiểu:</w:t>
            </w:r>
          </w:p>
          <w:p w14:paraId="0B2A238F"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a) Nhóm công việc được sử dụng, giới hạn thực thi của trí tuệ nhân tạo và quyền phê duyệt;</w:t>
            </w:r>
          </w:p>
          <w:p w14:paraId="6AA2E589"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b) Loại dữ liệu, tài liệu, thông tin được phép hoặc không được phép nhập vào hệ thống;</w:t>
            </w:r>
          </w:p>
          <w:p w14:paraId="064CA8A4"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c) Giới hạn phạm vi của tác nhân trí tuệ nhân tạo bảo đảm không tự động tạo, sửa đổi, xóa, chuyển giao, chia sẻ hoặc công khai dữ liệu thuộc phạm vi quản lý của cơ quan nhà nước; tự mở rộng phạm vi nhiệm vụ, tự cấp thêm quyền, tự kết nối hệ thống mới, tự thay đổi giới hạn hành động hoặc tự vô hiệu hóa cơ chế giám sát; tự thực hiện các hoạt động vượt quá phạm vi gây ảnh hưởng đến hệ thống thông tin;</w:t>
            </w:r>
          </w:p>
          <w:p w14:paraId="45EE5652"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lastRenderedPageBreak/>
              <w:t>d) Trách nhiệm kiểm chứng, chỉnh sửa, phê duyệt, lưu vết việc sử dụng kết quả đầu ra;</w:t>
            </w:r>
          </w:p>
          <w:p w14:paraId="63727136"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đ) Yêu cầu thông báo, gắn nhãn hoặc ghi nhận việc có sử dụng trí tuệ nhân tạo khi pháp luật có quy định;</w:t>
            </w:r>
          </w:p>
          <w:p w14:paraId="386E1443"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e) Biện pháp bảo mật, bảo vệ dữ liệu, bảo vệ bí mật nhà nước, bảo vệ quyền sở hữu trí tuệ và xử lý sự cố;</w:t>
            </w:r>
          </w:p>
          <w:p w14:paraId="720C1A8A"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g) Đối với các tác nhân trí tuệ nhân tạo tương tác trực tiếp với tổ chức, cá nhân, phải thiết lập cơ chế tự động chuyển hướng hỗ trợ sang cán bộ chuyên trách trong các trường hợp: hệ thống nhận diện, phân loại câu hỏi, yêu cầu thuộc trường hợp phức tạp, vượt quá phạm vi dữ liệu hoặc chức năng được thiết lập; hệ thống không thể đưa ra câu trả lời hoặc không thể xử lý yêu cầu sau khi đã thực hiện các bước cần thiết để làm rõ thông tin; hoặc khi có yêu cầu kết nối trực tiếp từ người dùng. Trường hợp cần thiết lập tiêu chí về số lượt tương tác, kết hợp với phản hồi đánh giá của người dùng đối với chất lượng trả lời của hệ thống.</w:t>
            </w:r>
          </w:p>
          <w:p w14:paraId="556315EB"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 xml:space="preserve">4. Khi tác nhân trí tuệ nhân tạo có dấu hiệu thực hiện hành động ngoài phạm vi nhiệm vụ, vượt giới hạn quyền, truy cập dữ liệu bất thường, tạo chuỗi hành động ngoài dự kiến, tiêu thụ tài nguyên bất thường, tạo đầu ra có nguy cơ gây thiệt hại hoặc có dấu hiệu bị tấn công, chiếm quyền điều khiển, cơ quan chủ quản hệ thống trí tuệ nhân tạo phải kịp thời tạm dừng, cô lập, thu hồi quyền truy cập, bảo toàn nhật ký và xử lý sự cố theo quy định tại Điều 10 Quy định này. Đơn vị vận hành có trách nhiệm bảo toàn nhật ký, xác định dữ liệu và hồ sơ đã chịu tác động, thông báo cho đầu mối có trách nhiệm, phối hợp sửa sai và thực hiện nghĩa vụ báo cáo theo quy </w:t>
            </w:r>
            <w:r w:rsidRPr="005437ED">
              <w:rPr>
                <w:rFonts w:ascii="Times New Roman" w:hAnsi="Times New Roman" w:cs="Times New Roman"/>
                <w:sz w:val="26"/>
              </w:rPr>
              <w:lastRenderedPageBreak/>
              <w:t>định tại Điều 10 Quy định này và pháp luật có liên quan.</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54CC6E4" w14:textId="77777777" w:rsidR="008D3830" w:rsidRPr="005437ED" w:rsidRDefault="008D3830">
            <w:pPr>
              <w:pStyle w:val="ListParagraph"/>
              <w:tabs>
                <w:tab w:val="left" w:pos="167"/>
              </w:tabs>
              <w:snapToGrid w:val="0"/>
              <w:spacing w:before="120" w:after="0" w:line="240" w:lineRule="auto"/>
              <w:ind w:left="0"/>
              <w:contextualSpacing w:val="0"/>
              <w:jc w:val="both"/>
              <w:rPr>
                <w:rFonts w:ascii="Times New Roman" w:eastAsia="Times New Roman;Times New Roman" w:hAnsi="Times New Roman" w:cs="Times New Roman"/>
                <w:b/>
                <w:bCs/>
                <w:sz w:val="26"/>
                <w:szCs w:val="26"/>
              </w:rPr>
            </w:pPr>
          </w:p>
          <w:p w14:paraId="7D76EF97" w14:textId="77777777" w:rsidR="008D3830" w:rsidRPr="005437ED" w:rsidRDefault="008D3830">
            <w:pPr>
              <w:pStyle w:val="ListParagraph"/>
              <w:tabs>
                <w:tab w:val="left" w:pos="167"/>
              </w:tabs>
              <w:spacing w:before="120" w:after="0" w:line="240" w:lineRule="auto"/>
              <w:ind w:left="0"/>
              <w:contextualSpacing w:val="0"/>
              <w:jc w:val="both"/>
              <w:rPr>
                <w:rFonts w:ascii="Times New Roman" w:eastAsia="Times New Roman;Times New Roman" w:hAnsi="Times New Roman" w:cs="Times New Roman"/>
                <w:sz w:val="26"/>
                <w:szCs w:val="26"/>
              </w:rPr>
            </w:pPr>
          </w:p>
          <w:p w14:paraId="56D28118"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Kế thừa cơ bản nội dung của Quyết định số 102/2026/QĐ-UBND ngày 21 tháng 7 năm 2026 của Ủy ban nhân dân thành phố Hà Nội.</w:t>
            </w:r>
          </w:p>
          <w:p w14:paraId="64AF5EB1"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Đồng thời, các nội dung tại Điều này được xây dựng trên cơ sở quy định tại khoản 2 Điều 27, khoản 2 Điều 4, khoản 2 Điều 27, Điều 11 - Luật Trí tuệ nhân tạo; khoản 2 Điều 16 Luật Dữ liệu.</w:t>
            </w:r>
          </w:p>
          <w:p w14:paraId="36D09880"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Tiếp thu ý kiến thẩm định của Sở Tư pháp (Báo cáo số 12179/BC-STP ngày 18/9/2026, mục 8.1): bỏ cụm từ “(Gen AI)”, “(AI Agent)” tại tên điều.</w:t>
            </w:r>
          </w:p>
          <w:p w14:paraId="7B772510"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Tiếp thu Bản góp ý của Nhóm chuyên môn – Trường Đại học Luật Thành phố Hồ Chí Minh (mục 5, đoạn 5): khoản 4 bổ sung nghĩa vụ của đơn vị vận hành khi tác nhân trí tuệ nhân tạo hành động ngoài phạm vi.</w:t>
            </w:r>
          </w:p>
        </w:tc>
      </w:tr>
      <w:tr w:rsidR="008D3830" w:rsidRPr="005437ED" w14:paraId="40C4E5E4"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8C0BC22"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lastRenderedPageBreak/>
              <w:t xml:space="preserve">Điều 18 Luật Trí tuệ nhân tạo số 134/2025/QH15; </w:t>
            </w:r>
          </w:p>
          <w:p w14:paraId="54FE2B3C"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Điều 37 Nghị định số 142/2026/NĐ-CP; </w:t>
            </w:r>
          </w:p>
          <w:p w14:paraId="35CD7031"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Điều 25, Điều 26 Luật Chuyển đổi số số 148/2025/QH15; </w:t>
            </w:r>
          </w:p>
          <w:p w14:paraId="2555E803"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Điều 37 Nghị định số 224/2026/NĐ-CP; </w:t>
            </w:r>
          </w:p>
          <w:p w14:paraId="6BB27741"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điểm b khoản 2 Điều 41 Nghị định số 142/2026/NĐ-CP; </w:t>
            </w:r>
          </w:p>
          <w:p w14:paraId="3895F359"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khoản 8 Điều 6, khoản 8 Điều 9 Luật Chuyển đổi số số 148/2025/QH15; </w:t>
            </w:r>
          </w:p>
          <w:p w14:paraId="6BA56530"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Điều 42 Nghị định số 142/2026/NĐ-CP; </w:t>
            </w:r>
          </w:p>
          <w:p w14:paraId="4327C3B2"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Luật Dữ liệu số 60/2024/QH15; </w:t>
            </w:r>
          </w:p>
          <w:p w14:paraId="678B54CF" w14:textId="77777777" w:rsidR="008D3830" w:rsidRPr="005437ED" w:rsidRDefault="00000000">
            <w:pPr>
              <w:pStyle w:val="ListParagraph"/>
              <w:numPr>
                <w:ilvl w:val="0"/>
                <w:numId w:val="13"/>
              </w:numPr>
              <w:tabs>
                <w:tab w:val="left" w:pos="170"/>
              </w:tabs>
              <w:spacing w:before="120" w:after="0" w:line="240" w:lineRule="auto"/>
              <w:ind w:left="0" w:hanging="14"/>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Luật An ninh mạng số 116/2025/QH15; </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7417E89" w14:textId="77777777" w:rsidR="008D3830" w:rsidRPr="005437ED" w:rsidRDefault="00000000">
            <w:pPr>
              <w:spacing w:after="60"/>
              <w:rPr>
                <w:rFonts w:ascii="Times New Roman" w:hAnsi="Times New Roman" w:cs="Times New Roman"/>
              </w:rPr>
            </w:pPr>
            <w:r w:rsidRPr="005437ED">
              <w:rPr>
                <w:rFonts w:ascii="Times New Roman" w:hAnsi="Times New Roman" w:cs="Times New Roman"/>
                <w:b/>
                <w:sz w:val="26"/>
              </w:rPr>
              <w:t>Điều 14. Hạ tầng dữ liệu, nền tảng dùng chung và bài toán ưu tiên của Thành phố</w:t>
            </w:r>
          </w:p>
          <w:p w14:paraId="56A038D7"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1. Thành phố khuyến khích ưu tiên sử dụng hạ tầng số, trung tâm dữ liệu, điện toán đám mây, nền tảng trí tuệ nhân tạo và nền tảng dữ liệu do doanh nghiệp Việt Nam cung cấp nếu đáp ứng yêu cầu pháp luật về trí tuệ nhân tạo, dữ liệu, an ninh mạng, cơ yếu và Khung kiến trúc số Thành phố.</w:t>
            </w:r>
          </w:p>
          <w:p w14:paraId="5BB17F99"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2. Thành phố khuyến khích ứng dụng hệ thống trí tuệ nhân tạo trên cơ sở hạ tầng dữ liệu, nền tảng số dùng chung, Khung kiến trúc số Thành phố, hệ thống thông tin chuyên ngành và cơ sở dữ liệu thuộc phạm vi quản lý của Thành phố theo quy định của pháp luật.</w:t>
            </w:r>
          </w:p>
          <w:p w14:paraId="4378F536"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3. Danh mục bài toán trí tuệ nhân tạo ưu tiên phải căn cứ vào nhu cầu quản lý, khả năng dữ liệu, điều kiện kỹ thuật, khả năng kiểm soát rủi ro, hiệu quả dự kiến, khả năng nhân rộng và khả năng bảo đảm nguồn lực.</w:t>
            </w:r>
          </w:p>
          <w:p w14:paraId="1263F049"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4. Cơ quan, đơn vị chỉ đầu tư, triển khai hệ thống trí tuệ nhân tạo dùng riêng khi có nhu cầu đặc thù, không trùng lặp với hệ thống trí tuệ nhân tạo dùng chung của Thành phố. Chịu trách nhiệm trước pháp luật về việc đáp ứng yêu cầu về Khung kiến trúc số Thành phố, dữ liệu, an ninh mạng, bảo vệ bí mật nhà nước và khả năng duy trì vận hành, dừng sử dụng và tích hợp khi có yêu cầu.</w:t>
            </w:r>
          </w:p>
          <w:p w14:paraId="1F05E7EE"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 xml:space="preserve">5. Việc xây dựng, khai thác, sử dụng hạ tầng tính toán, nền tảng dữ liệu, môi trường kiểm thử, kho công cụ, bộ dữ liệu mẫu, tài liệu hướng dẫn và nền tảng dùng chung phục vụ trí </w:t>
            </w:r>
            <w:r w:rsidRPr="005437ED">
              <w:rPr>
                <w:rFonts w:ascii="Times New Roman" w:hAnsi="Times New Roman" w:cs="Times New Roman"/>
                <w:sz w:val="26"/>
              </w:rPr>
              <w:lastRenderedPageBreak/>
              <w:t>tuệ nhân tạo của Thành phố phải tuân thủ quy định của pháp luật về đầu tư công, quản lý tài sản công, dữ liệu, an ninh mạng và pháp luật có liên quan.</w:t>
            </w:r>
          </w:p>
          <w:p w14:paraId="409F4CE8"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6. Thành phố khuyến khích hình thành mạng lưới chuyên gia, nhóm nghiên cứu, tư vấn, kiểm thử và đánh giá; khuyến khích hợp tác công tư và có kiểm soát đối với hệ thống trí tuệ nhân tạo phục vụ cơ quan nhà nước, cung cấp dịch vụ công, điều hành đô thị và đổi mới sáng tạo trong khu vực công.</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A564A01" w14:textId="77777777" w:rsidR="008D3830" w:rsidRPr="005437ED" w:rsidRDefault="008D3830">
            <w:pPr>
              <w:pStyle w:val="ListParagraph"/>
              <w:tabs>
                <w:tab w:val="left" w:pos="167"/>
              </w:tabs>
              <w:snapToGrid w:val="0"/>
              <w:spacing w:before="120" w:after="0" w:line="240" w:lineRule="auto"/>
              <w:ind w:left="0"/>
              <w:contextualSpacing w:val="0"/>
              <w:jc w:val="both"/>
              <w:rPr>
                <w:rFonts w:ascii="Times New Roman" w:eastAsia="Times New Roman;Times New Roman" w:hAnsi="Times New Roman" w:cs="Times New Roman"/>
                <w:b/>
                <w:sz w:val="26"/>
                <w:szCs w:val="26"/>
              </w:rPr>
            </w:pPr>
          </w:p>
          <w:p w14:paraId="1B61ED85" w14:textId="77777777" w:rsidR="008D3830" w:rsidRPr="005437ED" w:rsidRDefault="008D3830">
            <w:pPr>
              <w:pStyle w:val="ListParagraph"/>
              <w:tabs>
                <w:tab w:val="left" w:pos="167"/>
              </w:tabs>
              <w:spacing w:before="120" w:after="0" w:line="240" w:lineRule="auto"/>
              <w:ind w:left="0"/>
              <w:contextualSpacing w:val="0"/>
              <w:jc w:val="both"/>
              <w:rPr>
                <w:rFonts w:ascii="Times New Roman" w:eastAsia="Times New Roman;Times New Roman" w:hAnsi="Times New Roman" w:cs="Times New Roman"/>
                <w:sz w:val="26"/>
                <w:szCs w:val="26"/>
              </w:rPr>
            </w:pPr>
          </w:p>
          <w:p w14:paraId="16E1C309"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Kế thừa cơ bản nội dung của Quyết định số 102/2026/QĐ-UBND ngày 21 tháng 7 năm 2026 của Ủy ban nhân dân thành phố Hà Nội.</w:t>
            </w:r>
          </w:p>
          <w:p w14:paraId="6E040131"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Đồng thời, các nội dung tại Điều này được xây dựng trên cơ sở quy định tại khoản 2 Điều 16, Điều 18 - Luật Trí tuệ nhân tạo; khoản 8 Điều 6, khoản 8 Điều 9, Điều 25, Điều 26 - Luật Chuyển đổi số; Điều 37 Nghị định số 224/2026/NĐ-CP; Điều 37, điểm b khoản 2 Điều 41 - Nghị định số 142/2026/NĐ-CP.</w:t>
            </w:r>
          </w:p>
          <w:p w14:paraId="2AAE953C" w14:textId="77777777" w:rsidR="008D3830" w:rsidRPr="005437ED" w:rsidRDefault="008D3830">
            <w:pPr>
              <w:pStyle w:val="ListParagraph"/>
              <w:tabs>
                <w:tab w:val="left" w:pos="167"/>
              </w:tabs>
              <w:spacing w:before="120" w:after="0" w:line="240" w:lineRule="auto"/>
              <w:ind w:left="0"/>
              <w:contextualSpacing w:val="0"/>
              <w:jc w:val="both"/>
              <w:rPr>
                <w:rFonts w:ascii="Times New Roman" w:eastAsia="Times New Roman;Times New Roman" w:hAnsi="Times New Roman" w:cs="Times New Roman"/>
                <w:sz w:val="26"/>
                <w:szCs w:val="26"/>
              </w:rPr>
            </w:pPr>
          </w:p>
          <w:p w14:paraId="069FEFF3" w14:textId="77777777" w:rsidR="008D3830" w:rsidRPr="005437ED" w:rsidRDefault="008D3830">
            <w:pPr>
              <w:pStyle w:val="ListParagraph"/>
              <w:tabs>
                <w:tab w:val="left" w:pos="167"/>
              </w:tabs>
              <w:spacing w:before="120" w:after="0" w:line="240" w:lineRule="auto"/>
              <w:ind w:left="0"/>
              <w:contextualSpacing w:val="0"/>
              <w:jc w:val="both"/>
              <w:rPr>
                <w:rFonts w:ascii="Times New Roman" w:eastAsia="Times New Roman;Times New Roman" w:hAnsi="Times New Roman" w:cs="Times New Roman"/>
                <w:sz w:val="26"/>
                <w:szCs w:val="26"/>
              </w:rPr>
            </w:pPr>
          </w:p>
        </w:tc>
      </w:tr>
      <w:tr w:rsidR="008D3830" w:rsidRPr="005437ED" w14:paraId="05511744" w14:textId="77777777">
        <w:tc>
          <w:tcPr>
            <w:tcW w:w="14881" w:type="dxa"/>
            <w:gridSpan w:val="3"/>
            <w:tcBorders>
              <w:top w:val="single" w:sz="4" w:space="0" w:color="000000"/>
              <w:left w:val="single" w:sz="4" w:space="0" w:color="000000"/>
              <w:bottom w:val="single" w:sz="4" w:space="0" w:color="000000"/>
              <w:right w:val="single" w:sz="4" w:space="0" w:color="000000"/>
            </w:tcBorders>
            <w:shd w:val="clear" w:color="auto" w:fill="D9D9D9"/>
            <w:tcMar>
              <w:top w:w="100" w:type="dxa"/>
              <w:left w:w="100" w:type="dxa"/>
              <w:bottom w:w="100" w:type="dxa"/>
              <w:right w:w="100" w:type="dxa"/>
            </w:tcMar>
          </w:tcPr>
          <w:p w14:paraId="5CB42089" w14:textId="77777777" w:rsidR="008D3830" w:rsidRPr="005437ED" w:rsidRDefault="00000000">
            <w:pPr>
              <w:spacing w:before="120"/>
              <w:jc w:val="center"/>
              <w:rPr>
                <w:rFonts w:ascii="Times New Roman" w:hAnsi="Times New Roman" w:cs="Times New Roman"/>
                <w:sz w:val="26"/>
                <w:szCs w:val="26"/>
              </w:rPr>
            </w:pPr>
            <w:r w:rsidRPr="005437ED">
              <w:rPr>
                <w:rFonts w:ascii="Times New Roman" w:hAnsi="Times New Roman" w:cs="Times New Roman"/>
                <w:b/>
                <w:bCs/>
                <w:sz w:val="26"/>
                <w:szCs w:val="26"/>
              </w:rPr>
              <w:t>Chương IV. TỔ CHỨC THỰC HIỆN</w:t>
            </w:r>
          </w:p>
        </w:tc>
      </w:tr>
      <w:tr w:rsidR="008D3830" w:rsidRPr="005437ED" w14:paraId="15611274"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2F649F9" w14:textId="77777777" w:rsidR="008D3830" w:rsidRPr="005437ED" w:rsidRDefault="00000000">
            <w:pPr>
              <w:spacing w:before="120"/>
              <w:rPr>
                <w:rFonts w:ascii="Times New Roman" w:hAnsi="Times New Roman" w:cs="Times New Roman"/>
                <w:sz w:val="26"/>
                <w:szCs w:val="26"/>
              </w:rPr>
            </w:pPr>
            <w:r w:rsidRPr="005437ED">
              <w:rPr>
                <w:rFonts w:ascii="Times New Roman" w:hAnsi="Times New Roman" w:cs="Times New Roman"/>
                <w:sz w:val="21"/>
                <w:szCs w:val="21"/>
              </w:rPr>
              <w:t xml:space="preserve">Điều 44 Nghị định số 142/2026/NĐ-CP </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D8086C3" w14:textId="77777777" w:rsidR="008D3830" w:rsidRPr="005437ED" w:rsidRDefault="00000000">
            <w:pPr>
              <w:spacing w:after="60"/>
              <w:rPr>
                <w:rFonts w:ascii="Times New Roman" w:hAnsi="Times New Roman" w:cs="Times New Roman"/>
              </w:rPr>
            </w:pPr>
            <w:r w:rsidRPr="005437ED">
              <w:rPr>
                <w:rFonts w:ascii="Times New Roman" w:hAnsi="Times New Roman" w:cs="Times New Roman"/>
                <w:b/>
                <w:sz w:val="26"/>
              </w:rPr>
              <w:t>Điều 15. Trách nhiệm của Sở Khoa học và Công nghệ</w:t>
            </w:r>
          </w:p>
          <w:p w14:paraId="16BEAE40"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1. Là cơ quan đầu mối tham mưu Ủy ban nhân dân Thành phố tổ chức triển khai, hướng dẫn, theo dõi, đôn đốc, tổng hợp, đánh giá việc thực hiện Quy định này trong phạm vi quản lý nhà nước của Thành phố.</w:t>
            </w:r>
          </w:p>
          <w:p w14:paraId="2C2F84B3"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2. Chủ trì, phối hợp các cơ quan, đơn vị liên quan tổ chức kiểm tra hằng năm hoặc kiểm tra đột xuất công tác triển khai, tuân thủ Quy định tại các cơ quan, đơn vị thuộc Thành phố. Ưu tiên thực hiện bằng hình thức hậu kiểm.</w:t>
            </w:r>
          </w:p>
          <w:p w14:paraId="36028A64"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3. Phối hợp với Sở Nội vụ và Trung tâm Chuyển đổi số hướng dẫn các cơ quan, đơn vị thuộc Thành phố xây dựng, ban hành quy trình nội bộ theo quy định tại khoản 3 Điều 13 Quy định này, thông qua việc ban hành Bộ quy trình nội bộ mẫu để các cơ quan, đơn vị tham khảo, áp dụng phù hợp với chức năng, nhiệm vụ của mình.</w:t>
            </w:r>
          </w:p>
          <w:p w14:paraId="1A83DD1F"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 xml:space="preserve">4. Phối hợp tổ chức đào tạo, bồi dưỡng, tập huấn, phổ biến </w:t>
            </w:r>
            <w:r w:rsidRPr="005437ED">
              <w:rPr>
                <w:rFonts w:ascii="Times New Roman" w:hAnsi="Times New Roman" w:cs="Times New Roman"/>
                <w:sz w:val="26"/>
              </w:rPr>
              <w:lastRenderedPageBreak/>
              <w:t>kiến thức về quản trị, pháp lý, kỹ thuật, an ninh và rủi ro trí tuệ nhân tạo cho cán bộ, công chức, viên chức, người lao động trong cơ quan, tổ chức, đơn vị thuộc Thành phố.</w:t>
            </w:r>
          </w:p>
          <w:p w14:paraId="4FC6A9FB"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5. Tổng hợp khó khăn, vướng mắc, kiến nghị của cơ quan, tổ chức, đơn vị trong quá trình thực hiện Quy định này; tham mưu, báo cáo Ủy ban nhân dân Thành phố xử lý theo thẩm quyền hoặc kiến nghị cơ quan nhà nước có thẩm quyền ở Trung ương xem xét, hướng dẫn, sửa đổi, bổ sung quy định có liên quan.</w:t>
            </w:r>
          </w:p>
          <w:p w14:paraId="1373D31C"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6. Tổng hợp đề xuất của các cơ quan, đơn vị gửi Sở Tài chính tham mưu Ủy ban nhân dân Thành phố bảo đảm kinh phí triển khai phù hợp quy định.</w:t>
            </w:r>
          </w:p>
          <w:p w14:paraId="5D76933D"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7. Ban hành bộ biểu mẫu, tài liệu hướng dẫn dùng chung về hồ sơ quản lý, phân loại rủi ro, đánh giá tác động và báo cáo sự cố đối với hệ thống trí tuệ nhân tạo để các cơ quan, đơn vị thuộc Thành phố áp dụng.</w:t>
            </w:r>
          </w:p>
          <w:p w14:paraId="28FB8299"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8. Tổng hợp, công khai danh mục các hệ thống trí tuệ nhân tạo đang được sử dụng trong hoạt động quản lý nhà nước của Thành phố, gồm mục đích sử dụng, mức độ rủi ro và đầu mối tiếp nhận yêu cầu giải thích; không công khai thông tin thuộc bí mật nhà nước, bí mật công nghệ, bí mật kinh doanh theo quy định của pháp luật.</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3CDEF96"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lastRenderedPageBreak/>
              <w:t>Kế thừa cơ bản nội dung của Quyết định số 102/2026/QĐ-UBND ngày 21 tháng 7 năm 2026 của Ủy ban nhân dân thành phố Hà Nội.</w:t>
            </w:r>
          </w:p>
          <w:p w14:paraId="1E6D3CB0"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Đồng thời, các nội dung tại Điều này được xây dựng trên cơ sở quy định tại Điều 44 Nghị định số 142/2026/NĐ-CP về trách nhiệm quản lý nhà nước về trí tuệ nhân tạo tại địa phương của Ủy ban nhân dân cấp tỉnh; việc phân công nhiệm vụ cụ thể cho cơ quan chuyên môn thuộc thẩm quyền tổ chức bộ máy, phân công công tác nội bộ của Ủy ban nhân dân Thành phố.</w:t>
            </w:r>
          </w:p>
          <w:p w14:paraId="5FBDF4B1"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 xml:space="preserve">Tiếp thu Bản góp ý của Nhóm chuyên môn – Trường Đại học Luật Thành phố Hồ Chí Minh (mục 5, đoạn 4; mục 7, đoạn 2; mục 8): </w:t>
            </w:r>
            <w:r w:rsidRPr="005437ED">
              <w:rPr>
                <w:rFonts w:ascii="Times New Roman" w:eastAsia="Times New Roman;Times New Roman" w:hAnsi="Times New Roman" w:cs="Times New Roman"/>
                <w:sz w:val="26"/>
                <w:szCs w:val="26"/>
              </w:rPr>
              <w:lastRenderedPageBreak/>
              <w:t>bổ sung khoản 7 (bộ biểu mẫu, tài liệu hướng dẫn dùng chung) và khoản 8 (tổng hợp, công khai danh mục hệ thống trí tuệ nhân tạo đang sử dụng).</w:t>
            </w:r>
          </w:p>
        </w:tc>
      </w:tr>
      <w:tr w:rsidR="008D3830" w:rsidRPr="005437ED" w14:paraId="217A88E3"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80DB20C" w14:textId="77777777" w:rsidR="008D3830" w:rsidRPr="005437ED" w:rsidRDefault="00000000">
            <w:pPr>
              <w:spacing w:before="120"/>
              <w:rPr>
                <w:rFonts w:ascii="Times New Roman" w:hAnsi="Times New Roman" w:cs="Times New Roman"/>
                <w:sz w:val="21"/>
                <w:szCs w:val="21"/>
              </w:rPr>
            </w:pPr>
            <w:r w:rsidRPr="005437ED">
              <w:rPr>
                <w:rFonts w:ascii="Times New Roman" w:hAnsi="Times New Roman" w:cs="Times New Roman"/>
                <w:sz w:val="21"/>
                <w:szCs w:val="21"/>
              </w:rPr>
              <w:lastRenderedPageBreak/>
              <w:t xml:space="preserve">Điều 42, Điều 44 Nghị định số 142/2026/NĐ-CP; </w:t>
            </w:r>
          </w:p>
          <w:p w14:paraId="50746241" w14:textId="77777777" w:rsidR="008D3830" w:rsidRPr="005437ED" w:rsidRDefault="00000000">
            <w:pPr>
              <w:spacing w:before="120"/>
              <w:rPr>
                <w:rFonts w:ascii="Times New Roman" w:hAnsi="Times New Roman" w:cs="Times New Roman"/>
                <w:sz w:val="21"/>
                <w:szCs w:val="21"/>
              </w:rPr>
            </w:pPr>
            <w:r w:rsidRPr="005437ED">
              <w:rPr>
                <w:rFonts w:ascii="Times New Roman" w:hAnsi="Times New Roman" w:cs="Times New Roman"/>
                <w:sz w:val="21"/>
                <w:szCs w:val="21"/>
              </w:rPr>
              <w:t xml:space="preserve">Điều 29 Luật Trí tuệ nhân tạo số 134/2025/QH15; </w:t>
            </w:r>
          </w:p>
          <w:p w14:paraId="1BEA4709" w14:textId="77777777" w:rsidR="008D3830" w:rsidRPr="005437ED" w:rsidRDefault="00000000">
            <w:pPr>
              <w:spacing w:before="120"/>
              <w:rPr>
                <w:rFonts w:ascii="Times New Roman" w:hAnsi="Times New Roman" w:cs="Times New Roman"/>
                <w:sz w:val="26"/>
                <w:szCs w:val="26"/>
              </w:rPr>
            </w:pPr>
            <w:r w:rsidRPr="005437ED">
              <w:rPr>
                <w:rFonts w:ascii="Times New Roman" w:hAnsi="Times New Roman" w:cs="Times New Roman"/>
                <w:sz w:val="21"/>
                <w:szCs w:val="21"/>
              </w:rPr>
              <w:t xml:space="preserve">khoản 4, khoản 6 Điều 44 Nghị định </w:t>
            </w:r>
            <w:r w:rsidRPr="005437ED">
              <w:rPr>
                <w:rFonts w:ascii="Times New Roman" w:hAnsi="Times New Roman" w:cs="Times New Roman"/>
                <w:sz w:val="21"/>
                <w:szCs w:val="21"/>
              </w:rPr>
              <w:lastRenderedPageBreak/>
              <w:t>số 142/2026/NĐ-CP.</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5B3DB92" w14:textId="77777777" w:rsidR="008D3830" w:rsidRPr="005437ED" w:rsidRDefault="00000000">
            <w:pPr>
              <w:spacing w:after="60"/>
              <w:rPr>
                <w:rFonts w:ascii="Times New Roman" w:hAnsi="Times New Roman" w:cs="Times New Roman"/>
              </w:rPr>
            </w:pPr>
            <w:r w:rsidRPr="005437ED">
              <w:rPr>
                <w:rFonts w:ascii="Times New Roman" w:hAnsi="Times New Roman" w:cs="Times New Roman"/>
                <w:b/>
                <w:sz w:val="26"/>
              </w:rPr>
              <w:lastRenderedPageBreak/>
              <w:t>Điều 16. Trách nhiệm của các Sở, ban, ngành Thành phố; Ủy ban nhân dân xã, phường, đặc khu và tổ chức, doanh nghiệp, cá nhân có liên quan đến hệ thống trí tuệ nhân tạo</w:t>
            </w:r>
          </w:p>
          <w:p w14:paraId="5FFB2576"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1. Công an Thành phố Hồ Chí Minh</w:t>
            </w:r>
          </w:p>
          <w:p w14:paraId="40D90D43"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lastRenderedPageBreak/>
              <w:t>Chủ trì, phối hợp với Sở Khoa học và Công nghệ và các đơn vị có liên quan hướng dẫn, kiểm tra, cảnh báo, ứng cứu, xử lý sự cố an ninh mạng, bảo vệ bí mật nhà nước, bảo vệ dữ liệu đối với hệ thống trí tuệ nhân tạo theo quy định của pháp luật; hướng dẫn biện pháp bảo vệ dữ liệu cá nhân, phương án phòng ngừa, ứng cứu sự cố rò rỉ dữ liệu cá nhân trong quá trình thu thập, huấn luyện mô hình trí tuệ nhân tạo bằng dữ liệu đô thị, bảo đảm tuân thủ Luật Bảo vệ dữ liệu cá nhân số 91/2025/QH15 và Luật An ninh mạng số 116/2025/QH15.</w:t>
            </w:r>
          </w:p>
          <w:p w14:paraId="61DEA4AC"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2. Sở Nội vụ</w:t>
            </w:r>
          </w:p>
          <w:p w14:paraId="35603273"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Chủ trì, phối hợp với Sở Khoa học và Công nghệ, các đơn vị có liên quan tham mưu, tổ chức hoặc lồng ghép nội dung về quản trị, sử dụng có trách nhiệm, đạo đức, pháp lý, an toàn và rủi ro trí tuệ nhân tạo vào chương trình đào tạo, bồi dưỡng cán bộ, công chức, viên chức, người lao động thuộc Thành phố phù hợp với quy định của pháp luật</w:t>
            </w:r>
          </w:p>
          <w:p w14:paraId="467C490F"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3. Sở Tài chính</w:t>
            </w:r>
          </w:p>
          <w:p w14:paraId="290B91C7"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Trên cơ sở đề xuất của Sở Khoa học và Công nghệ, các cơ quan, đơn vị có liên quan, Sở Tài chính tham mưu bố trí kinh phí thực hiện Quy định này theo phân cấp ngân sách và khả năng cân đối ngân sách Thành phố. Đối với các nhiệm vụ, dự án sử dụng vốn đầu tư công, việc bố trí vốn thực hiện theo quy định của pháp luật về đầu tư công và kế hoạch đầu tư công trung hạn, hằng năm đã được cấp có thẩm quyền phê duyệt.</w:t>
            </w:r>
          </w:p>
          <w:p w14:paraId="3BE44427"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 xml:space="preserve">4. Các Sở, ban, ngành Thành phố, Ủy ban nhân dân xã, phường, đặc khu và tổ chức, doanh nghiệp, cá nhân có liên </w:t>
            </w:r>
            <w:r w:rsidRPr="005437ED">
              <w:rPr>
                <w:rFonts w:ascii="Times New Roman" w:hAnsi="Times New Roman" w:cs="Times New Roman"/>
                <w:sz w:val="26"/>
              </w:rPr>
              <w:lastRenderedPageBreak/>
              <w:t>quan</w:t>
            </w:r>
          </w:p>
          <w:p w14:paraId="3F17633C"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a) Người đứng đầu cơ quan, đơn vị chịu trách nhiệm tổ chức thực hiện Quy định này trong phạm vi quản lý và chịu trách nhiệm theo quy định của pháp luật khi để xảy ra vi phạm do không thực hiện hoặc thực hiện không đầy đủ trách nhiệm quản lý, giám sát, kiểm soát thuộc phạm vi được giao.</w:t>
            </w:r>
          </w:p>
          <w:p w14:paraId="7F46D12E"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b) Tổ chức quán triệt, thực hiện Quy định này trong phạm vi chức năng, nhiệm vụ, quyền hạn được giao.</w:t>
            </w:r>
          </w:p>
          <w:p w14:paraId="5AD3D07D"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c) Ban hành quy trình nội bộ về quản lý, sử dụng hệ thống trí tuệ nhân tạo phù hợp với tính chất, phạm vi hoạt động của cơ quan, tổ chức, đơn vị.</w:t>
            </w:r>
          </w:p>
          <w:p w14:paraId="0AF23224"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d) Bố trí nhân lực, kinh phí, điều kiện kỹ thuật, điều kiện bảo mật, điều kiện dữ liệu và thời gian cần thiết để thực hiện việc quản lý, giám sát, kiểm tra, đánh giá, hậu kiểm, xử lý sự cố và cập nhật hồ sơ quản lý hệ thống trí tuệ nhân tạo thuộc phạm vi quản lý theo quy định của pháp luật.</w:t>
            </w:r>
          </w:p>
          <w:p w14:paraId="087A43AE"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đ) Bảo đảm cán bộ, công chức, viên chức, người lao động được giao sử dụng, vận hành, giám sát hệ thống trí tuệ nhân tạo được hướng dẫn, tập huấn về chức năng, giới hạn, rủi ro, trách nhiệm và quy trình sử dụng hệ thống.</w:t>
            </w:r>
          </w:p>
          <w:p w14:paraId="55833151"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e) Kịp thời tạm dừng, hạn chế, cô lập, khắc phục, báo cáo và phối hợp xử lý theo quy định của pháp luật và Quy định này khi phát hiện hệ thống trí tuệ nhân tạo có rủi ro, sự cố, lỗi nghiêm trọng, có dấu hiệu vi phạm pháp luật, dấu hiệu mất an ninh mạng, rò rỉ dữ liệu, tác động bất lợi đến tổ chức, cá nhân hoặc nguy cơ ảnh hưởng đến hoạt động bình thường của cơ quan, tổ chức, đơn vị.</w:t>
            </w:r>
          </w:p>
          <w:p w14:paraId="2507D8BA"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lastRenderedPageBreak/>
              <w:t>g) Có trách nhiệm phối hợp với Sở Khoa học và Công nghệ hướng dẫn cơ quan, tổ chức, đơn vị trong ngành, lĩnh vực quản lý thực hiện yêu cầu quản trị trí tuệ nhân tạo, bảo đảm phù hợp với quy định pháp luật chuyên ngành, đặc thù dữ liệu, đặc thù nghiệp vụ và mức độ rủi ro của hệ thống.</w:t>
            </w:r>
          </w:p>
          <w:p w14:paraId="39122B6A"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h) Có trách nhiệm lồng ghép báo cáo kết quả thực hiện Quy định này vào các báo cáo chuyển đổi số hằng năm.</w:t>
            </w:r>
          </w:p>
          <w:p w14:paraId="0918652B"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i) Việc hợp tác với tổ chức, cá nhân trong nước và nước ngoài trong nghiên cứu, phát triển, thử nghiệm, chuyển giao, ứng dụng, đào tạo, kiểm thử và đánh giá hệ thống trí tuệ nhân tạo phải tuân thủ pháp luật về khoa học và công nghệ, hợp tác quốc tế, dữ liệu, an ninh mạng, bảo vệ bí mật nhà nước, đầu tư, đấu thầu và pháp luật có liên quan.</w:t>
            </w:r>
          </w:p>
          <w:p w14:paraId="07EDC611"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k) Trong quá trình thực hiện nếu có các vấn đề nảy sinh, không phù hợp hoặc chưa được quy định rõ, các cơ quan, tổ chức, đơn vị gửi kiến nghị, đề xuất về Sở Khoa học và Công nghệ để tổng hợp báo cáo Ủy ban nhân dân Thành phố kịp thời xem xét điều chỉnh, bổ sung phù hợp với tình hình thực tiễn.</w:t>
            </w:r>
          </w:p>
          <w:p w14:paraId="47D42A6E"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l) Chủ quản hệ thống trí tuệ nhân tạo và đơn vị vận hành có trách nhiệm bảo đảm duy trì hoạt động ổn định của hệ thống trong quá trình rà soát, hoàn thiện theo quy định tại Điều 17 Quy định này; không làm gián đoạn hoặc ảnh hưởng đến tiến độ giải quyết thủ tục hành chính và cung cấp dịch vụ công cho người dân, doanh nghiệp.</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16C96E7"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lastRenderedPageBreak/>
              <w:t>Kế thừa cơ bản nội dung của Quyết định số 102/2026/QĐ-UBND ngày 21 tháng 7 năm 2026 của Ủy ban nhân dân thành phố Hà Nội.</w:t>
            </w:r>
          </w:p>
          <w:p w14:paraId="2DE5E6B3" w14:textId="77777777" w:rsidR="008D3830" w:rsidRPr="005437ED" w:rsidRDefault="00000000">
            <w:pPr>
              <w:pStyle w:val="ListParagraph"/>
              <w:numPr>
                <w:ilvl w:val="0"/>
                <w:numId w:val="20"/>
              </w:numPr>
              <w:tabs>
                <w:tab w:val="left" w:pos="163"/>
              </w:tabs>
              <w:spacing w:before="120" w:after="0" w:line="240" w:lineRule="auto"/>
              <w:ind w:left="0" w:hanging="13"/>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 xml:space="preserve">Đồng thời, các nội dung tại Điều này được </w:t>
            </w:r>
            <w:r w:rsidRPr="005437ED">
              <w:rPr>
                <w:rFonts w:ascii="Times New Roman" w:eastAsia="Times New Roman;Times New Roman" w:hAnsi="Times New Roman" w:cs="Times New Roman"/>
                <w:sz w:val="26"/>
                <w:szCs w:val="26"/>
              </w:rPr>
              <w:lastRenderedPageBreak/>
              <w:t xml:space="preserve">xây dựng trên cơ sở quy định tại Điều 42, Điều 44 Nghị định số 142/2026/NĐ-CP; Điều 29 Luật Trí tuệ nhân tạo; khoản 4, khoản 6 Điều 44 Nghị định số 142/2026/NĐ-CP. </w:t>
            </w:r>
          </w:p>
          <w:p w14:paraId="67D01F24" w14:textId="77777777" w:rsidR="008D3830" w:rsidRPr="005437ED" w:rsidRDefault="00000000">
            <w:pPr>
              <w:pStyle w:val="ListParagraph"/>
              <w:numPr>
                <w:ilvl w:val="0"/>
                <w:numId w:val="20"/>
              </w:numPr>
              <w:tabs>
                <w:tab w:val="left" w:pos="163"/>
              </w:tabs>
              <w:spacing w:before="120" w:after="0" w:line="240" w:lineRule="auto"/>
              <w:ind w:left="0" w:hanging="13"/>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Tiếp thu ý kiến thẩm định của Sở Tư pháp (Báo cáo số 12179/BC-STP ngày 18/9/2026, mục 8.1): rà soát cách viện dẫn văn bản tại khoản 1.</w:t>
            </w:r>
          </w:p>
          <w:p w14:paraId="3647982C" w14:textId="77777777" w:rsidR="008D3830" w:rsidRPr="005437ED" w:rsidRDefault="00000000">
            <w:pPr>
              <w:pStyle w:val="ListParagraph"/>
              <w:numPr>
                <w:ilvl w:val="0"/>
                <w:numId w:val="20"/>
              </w:numPr>
              <w:tabs>
                <w:tab w:val="left" w:pos="163"/>
              </w:tabs>
              <w:spacing w:before="120" w:after="0" w:line="240" w:lineRule="auto"/>
              <w:ind w:left="0" w:hanging="13"/>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Tiếp thu ý kiến thẩm định của Sở Tư pháp (Báo cáo số 12179/BC-STP ngày 18/9/2026, mục 3.2.3): điểm l khoản 4 được chuyển từ khoản 4 Điều 17 dự thảo gửi thẩm định (bảo đảm hoạt động ổn định của hệ thống trong quá trình chuyển tiếp).</w:t>
            </w:r>
          </w:p>
          <w:p w14:paraId="73A59FA1" w14:textId="77777777" w:rsidR="008D3830" w:rsidRPr="005437ED" w:rsidRDefault="00000000">
            <w:pPr>
              <w:pStyle w:val="ListParagraph"/>
              <w:numPr>
                <w:ilvl w:val="0"/>
                <w:numId w:val="20"/>
              </w:numPr>
              <w:tabs>
                <w:tab w:val="left" w:pos="163"/>
              </w:tabs>
              <w:spacing w:before="120" w:after="0" w:line="240" w:lineRule="auto"/>
              <w:ind w:left="0" w:hanging="13"/>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Tiếp thu ý kiến của Sở Tài chính (Công văn số 26810/STC-HCSN ngày 16/9/2026): khoản 3 (trách nhiệm của Sở Tài chính) được sửa theo nội dung đề nghị.</w:t>
            </w:r>
          </w:p>
          <w:p w14:paraId="33E9E6EA" w14:textId="77777777" w:rsidR="008D3830" w:rsidRPr="005437ED" w:rsidRDefault="00000000">
            <w:pPr>
              <w:pStyle w:val="ListParagraph"/>
              <w:numPr>
                <w:ilvl w:val="0"/>
                <w:numId w:val="20"/>
              </w:numPr>
              <w:tabs>
                <w:tab w:val="left" w:pos="163"/>
              </w:tabs>
              <w:spacing w:before="120" w:after="0" w:line="240" w:lineRule="auto"/>
              <w:ind w:left="0" w:hanging="13"/>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t>Tiếp thu Bản góp ý của Nhóm chuyên môn – Trường Đại học Luật Thành phố Hồ Chí Minh (mục 6, đoạn 1, 2): điểm a khoản 4 quy định trách nhiệm gắn với việc thực hiện nghĩa vụ; điểm i khoản 4 rút gọn.</w:t>
            </w:r>
          </w:p>
          <w:p w14:paraId="2F4C6990" w14:textId="77777777" w:rsidR="008D3830" w:rsidRPr="005437ED" w:rsidRDefault="008D3830">
            <w:pPr>
              <w:pStyle w:val="ListParagraph"/>
              <w:tabs>
                <w:tab w:val="left" w:pos="163"/>
              </w:tabs>
              <w:spacing w:before="120" w:after="0" w:line="240" w:lineRule="auto"/>
              <w:ind w:left="0"/>
              <w:contextualSpacing w:val="0"/>
              <w:jc w:val="both"/>
              <w:rPr>
                <w:rFonts w:ascii="Times New Roman" w:eastAsia="Times New Roman;Times New Roman" w:hAnsi="Times New Roman" w:cs="Times New Roman"/>
                <w:sz w:val="26"/>
                <w:szCs w:val="26"/>
              </w:rPr>
            </w:pPr>
          </w:p>
        </w:tc>
      </w:tr>
      <w:tr w:rsidR="008D3830" w:rsidRPr="005437ED" w14:paraId="7BACFCC9"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4E2428E" w14:textId="77777777" w:rsidR="008D3830" w:rsidRPr="005437ED" w:rsidRDefault="008D3830">
            <w:pPr>
              <w:snapToGrid w:val="0"/>
              <w:spacing w:before="120"/>
              <w:rPr>
                <w:rFonts w:ascii="Times New Roman" w:hAnsi="Times New Roman" w:cs="Times New Roman"/>
                <w:sz w:val="26"/>
                <w:szCs w:val="26"/>
              </w:rPr>
            </w:pP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2720367A" w14:textId="77777777" w:rsidR="008D3830" w:rsidRPr="005437ED" w:rsidRDefault="00000000">
            <w:pPr>
              <w:spacing w:after="60"/>
              <w:rPr>
                <w:rFonts w:ascii="Times New Roman" w:hAnsi="Times New Roman" w:cs="Times New Roman"/>
              </w:rPr>
            </w:pPr>
            <w:r w:rsidRPr="005437ED">
              <w:rPr>
                <w:rFonts w:ascii="Times New Roman" w:hAnsi="Times New Roman" w:cs="Times New Roman"/>
                <w:b/>
                <w:sz w:val="26"/>
              </w:rPr>
              <w:t>Điều 17. Điều khoản chuyển tiếp</w:t>
            </w:r>
          </w:p>
          <w:p w14:paraId="19D6A796"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 xml:space="preserve">1. Đối với các hệ thống trí tuệ nhân tạo đã vận hành chính </w:t>
            </w:r>
            <w:r w:rsidRPr="005437ED">
              <w:rPr>
                <w:rFonts w:ascii="Times New Roman" w:hAnsi="Times New Roman" w:cs="Times New Roman"/>
                <w:sz w:val="26"/>
              </w:rPr>
              <w:lastRenderedPageBreak/>
              <w:t>thức, đã ký hợp đồng cung cấp dịch vụ công nghệ thông tin, đang triển khai thử nghiệm hoặc đang trong quy trình lựa chọn nhà thầu trước ngày Quy định này có hiệu lực thi hành, chủ quản hệ thống có trách nhiệm tổ chức rà soát, phân loại mức độ rủi ro và hoàn thiện hồ sơ quản lý hệ thống theo quy định, theo tư cách nhà cung cấp hoặc bên triển khai được xác định tại khoản 5 Điều 6 Quy định này.</w:t>
            </w:r>
          </w:p>
          <w:p w14:paraId="5AE7E0FC"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2. Thời hạn hoàn thành việc rà soát, hiệu chỉnh mô hình trí tuệ nhân tạo và bổ sung các biện pháp kiểm soát an toàn được quy định cụ thể như sau:</w:t>
            </w:r>
          </w:p>
          <w:p w14:paraId="0CAF05EE"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a) Không quá 06 tháng kể từ ngày Quy định này có hiệu lực thi hành đối với các hệ thống trí tuệ nhân tạo tham gia hỗ trợ trực tiếp quy trình hành chính, phân loại hồ sơ hoặc cung cấp dịch vụ công trực tuyến cho người dân, doanh nghiệp;</w:t>
            </w:r>
          </w:p>
          <w:p w14:paraId="318341E5"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b) Không quá 12 tháng kể từ ngày Quy định này có hiệu lực thi hành đối với các hệ thống trí tuệ nhân tạo phục vụ hoạt động quản trị nội bộ hoặc các hệ thống ứng dụng chuyên ngành dùng riêng khác.</w:t>
            </w:r>
          </w:p>
          <w:p w14:paraId="1383BE25"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3. Việc thực hiện các thủ tục thông báo, báo cáo và công khai thông tin liên quan đến hệ thống trí tuệ nhân tạo trong giai đoạn cổng thông tin điện tử một cửa về trí tuệ nhân tạo chưa được Bộ Khoa học và Công nghệ công bố vận hành chính thức được thực hiện theo quy định tại Điều 46 Nghị định số 142/2026/NĐ-CP.</w:t>
            </w:r>
          </w:p>
          <w:p w14:paraId="40223DA6"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 xml:space="preserve">4. Các cơ quan, đơn vị lập danh mục các hệ thống trí tuệ nhân tạo đang sử dụng, gửi Sở Khoa học và Công nghệ theo hướng dẫn của Sở Khoa học và Công nghệ, làm cơ sở cho công tác hậu kiểm và đề xuất sửa đổi, bổ sung Danh mục hệ </w:t>
            </w:r>
            <w:r w:rsidRPr="005437ED">
              <w:rPr>
                <w:rFonts w:ascii="Times New Roman" w:hAnsi="Times New Roman" w:cs="Times New Roman"/>
                <w:sz w:val="26"/>
              </w:rPr>
              <w:lastRenderedPageBreak/>
              <w:t>thống trí tuệ nhân tạo có rủi ro cao.</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CA3E996"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eastAsia="Times New Roman;Times New Roman" w:hAnsi="Times New Roman" w:cs="Times New Roman"/>
                <w:sz w:val="26"/>
                <w:szCs w:val="26"/>
              </w:rPr>
            </w:pPr>
            <w:r w:rsidRPr="005437ED">
              <w:rPr>
                <w:rFonts w:ascii="Times New Roman" w:eastAsia="Times New Roman;Times New Roman" w:hAnsi="Times New Roman" w:cs="Times New Roman"/>
                <w:sz w:val="26"/>
                <w:szCs w:val="26"/>
              </w:rPr>
              <w:lastRenderedPageBreak/>
              <w:t xml:space="preserve">Kế thừa cơ bản nội dung của Quyết định số 102/2026/QĐ-UBND ngày 21 tháng 7 năm </w:t>
            </w:r>
            <w:r w:rsidRPr="005437ED">
              <w:rPr>
                <w:rFonts w:ascii="Times New Roman" w:eastAsia="Times New Roman;Times New Roman" w:hAnsi="Times New Roman" w:cs="Times New Roman"/>
                <w:sz w:val="26"/>
                <w:szCs w:val="26"/>
              </w:rPr>
              <w:lastRenderedPageBreak/>
              <w:t>2026 của Ủy ban nhân dân thành phố Hà Nội.</w:t>
            </w:r>
          </w:p>
          <w:p w14:paraId="374508FE"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 xml:space="preserve">Đồng thời, các nội dung tại Điều này được xây dựng trên cơ sở quy định tại Điều 35 Luật Trí tuệ nhân tạo, khoản 1 Điều 46 Nghị định số 142/2026/NĐ-CP. </w:t>
            </w:r>
          </w:p>
          <w:p w14:paraId="6E76C885"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Tiếp thu ý kiến thẩm định của Sở Tư pháp (Báo cáo số 12179/BC-STP ngày 18/9/2026, mục 3.2.3): Điều 17 chỉ giữ nội dung chuyển tiếp (khoản 1, khoản 2, khoản 3); khoản 4 cũ chuyển thành điểm l khoản 4 Điều 16; khoản 5 cũ chuyển thành Điều 18; khoản 6 cũ lược bỏ do trùng khoản 5 Điều 15 và điểm k khoản 4 Điều 16.</w:t>
            </w:r>
          </w:p>
          <w:p w14:paraId="5DF784C2"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hAnsi="Times New Roman" w:cs="Times New Roman"/>
                <w:sz w:val="26"/>
                <w:szCs w:val="26"/>
              </w:rPr>
            </w:pPr>
            <w:r w:rsidRPr="005437ED">
              <w:rPr>
                <w:rFonts w:ascii="Times New Roman" w:eastAsia="Times New Roman;Times New Roman" w:hAnsi="Times New Roman" w:cs="Times New Roman"/>
                <w:sz w:val="26"/>
                <w:szCs w:val="26"/>
              </w:rPr>
              <w:t>Tiếp thu Bản góp ý của Nhóm chuyên môn – Trường Đại học Luật Thành phố Hồ Chí Minh (mục 6, đoạn 3): khoản 1 thực hiện theo tư cách nhà cung cấp hoặc bên triển khai xác định tại khoản 5 Điều 6; bổ sung khoản 4 (lập danh mục hệ thống trí tuệ nhân tạo đang sử dụng).</w:t>
            </w:r>
          </w:p>
        </w:tc>
      </w:tr>
      <w:tr w:rsidR="008D3830" w:rsidRPr="005437ED" w14:paraId="57950CD8"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66AA3F4"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lastRenderedPageBreak/>
              <w:t>Chưa có quy định.</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420A813" w14:textId="77777777" w:rsidR="008D3830" w:rsidRPr="005437ED" w:rsidRDefault="00000000">
            <w:pPr>
              <w:spacing w:after="60"/>
              <w:rPr>
                <w:rFonts w:ascii="Times New Roman" w:hAnsi="Times New Roman" w:cs="Times New Roman"/>
              </w:rPr>
            </w:pPr>
            <w:r w:rsidRPr="005437ED">
              <w:rPr>
                <w:rFonts w:ascii="Times New Roman" w:hAnsi="Times New Roman" w:cs="Times New Roman"/>
                <w:b/>
                <w:sz w:val="26"/>
              </w:rPr>
              <w:t>Điều 18. Áp dụng văn bản quy phạm pháp luật được dẫn chiếu</w:t>
            </w:r>
          </w:p>
          <w:p w14:paraId="63DCB1F9" w14:textId="77777777" w:rsidR="008D3830" w:rsidRPr="005437ED" w:rsidRDefault="00000000">
            <w:pPr>
              <w:spacing w:after="60"/>
              <w:jc w:val="both"/>
              <w:rPr>
                <w:rFonts w:ascii="Times New Roman" w:hAnsi="Times New Roman" w:cs="Times New Roman"/>
              </w:rPr>
            </w:pPr>
            <w:r w:rsidRPr="005437ED">
              <w:rPr>
                <w:rFonts w:ascii="Times New Roman" w:hAnsi="Times New Roman" w:cs="Times New Roman"/>
                <w:sz w:val="26"/>
              </w:rPr>
              <w:t>Trường hợp các văn bản quy phạm pháp luật được dẫn chiếu tại Quy định này có văn bản sửa đổi, bổ sung, thay thế hoặc được cơ quan có thẩm quyền ban hành văn bản mới để quy định nội dung tương ứng thì thực hiện theo văn bản sửa đổi, bổ sung, thay thế hoặc văn bản được ban hành mới./.</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24A48BD4" w14:textId="77777777" w:rsidR="008D3830" w:rsidRPr="005437ED" w:rsidRDefault="00000000">
            <w:pPr>
              <w:pStyle w:val="ListParagraph"/>
              <w:numPr>
                <w:ilvl w:val="0"/>
                <w:numId w:val="20"/>
              </w:numPr>
              <w:tabs>
                <w:tab w:val="left" w:pos="167"/>
              </w:tabs>
              <w:spacing w:before="120" w:after="0" w:line="240" w:lineRule="auto"/>
              <w:ind w:left="0" w:hanging="13"/>
              <w:contextualSpacing w:val="0"/>
              <w:jc w:val="both"/>
              <w:rPr>
                <w:rFonts w:ascii="Times New Roman" w:eastAsia="Times New Roman;Times New Roman" w:hAnsi="Times New Roman" w:cs="Times New Roman"/>
                <w:sz w:val="26"/>
                <w:szCs w:val="26"/>
              </w:rPr>
            </w:pPr>
            <w:r w:rsidRPr="005437ED">
              <w:rPr>
                <w:rFonts w:ascii="Times New Roman" w:hAnsi="Times New Roman" w:cs="Times New Roman"/>
                <w:sz w:val="26"/>
              </w:rPr>
              <w:t>Điều mới. Tiếp thu ý kiến thẩm định của Sở Tư pháp (Báo cáo số 12179/BC-STP ngày 18/9/2026, mục 3.2.3): khoản 5 Điều 17 dự thảo gửi thẩm định (áp dụng văn bản được dẫn chiếu khi được sửa đổi, bổ sung, thay thế) được chuyển thành Điều 18; sửa cụm từ “Quyết định này” thành “Quy định này”.</w:t>
            </w:r>
          </w:p>
        </w:tc>
      </w:tr>
    </w:tbl>
    <w:p w14:paraId="0C1AA997" w14:textId="77777777" w:rsidR="008D3830" w:rsidRPr="005437ED" w:rsidRDefault="008D3830">
      <w:pPr>
        <w:rPr>
          <w:rFonts w:ascii="Times New Roman" w:hAnsi="Times New Roman" w:cs="Times New Roman"/>
        </w:rPr>
      </w:pPr>
    </w:p>
    <w:sectPr w:rsidR="008D3830" w:rsidRPr="005437ED">
      <w:headerReference w:type="default" r:id="rId7"/>
      <w:headerReference w:type="first" r:id="rId8"/>
      <w:pgSz w:w="16838" w:h="11906" w:orient="landscape"/>
      <w:pgMar w:top="851" w:right="1134" w:bottom="1170" w:left="1134" w:header="567" w:footer="0" w:gutter="0"/>
      <w:cols w:space="720"/>
      <w:formProt w:val="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ADD4B" w14:textId="77777777" w:rsidR="00150D4B" w:rsidRDefault="00150D4B">
      <w:r>
        <w:separator/>
      </w:r>
    </w:p>
  </w:endnote>
  <w:endnote w:type="continuationSeparator" w:id="0">
    <w:p w14:paraId="1CF979E0" w14:textId="77777777" w:rsidR="00150D4B" w:rsidRDefault="00150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Times New Roman">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FreeSans">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rdia New">
    <w:panose1 w:val="020B0304020202020204"/>
    <w:charset w:val="DE"/>
    <w:family w:val="swiss"/>
    <w:pitch w:val="variable"/>
    <w:sig w:usb0="81000003" w:usb1="00000000" w:usb2="00000000" w:usb3="00000000" w:csb0="00010001" w:csb1="00000000"/>
  </w:font>
  <w:font w:name="Liberation Sans">
    <w:altName w:val="Arial"/>
    <w:charset w:val="01"/>
    <w:family w:val="swiss"/>
    <w:pitch w:val="variable"/>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BF75E" w14:textId="77777777" w:rsidR="00150D4B" w:rsidRDefault="00150D4B">
      <w:r>
        <w:separator/>
      </w:r>
    </w:p>
  </w:footnote>
  <w:footnote w:type="continuationSeparator" w:id="0">
    <w:p w14:paraId="15BE4EDC" w14:textId="77777777" w:rsidR="00150D4B" w:rsidRDefault="00150D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2A35D" w14:textId="77777777" w:rsidR="008D3830" w:rsidRDefault="00000000">
    <w:pPr>
      <w:pStyle w:val="Header"/>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25</w:t>
    </w:r>
    <w:r>
      <w:rPr>
        <w:sz w:val="24"/>
        <w:szCs w:val="24"/>
      </w:rPr>
      <w:fldChar w:fldCharType="end"/>
    </w:r>
  </w:p>
  <w:p w14:paraId="6991FDDA" w14:textId="77777777" w:rsidR="008D3830" w:rsidRDefault="008D3830">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FDC8C" w14:textId="77777777" w:rsidR="008D3830" w:rsidRDefault="008D38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67326"/>
    <w:multiLevelType w:val="multilevel"/>
    <w:tmpl w:val="A4968BEC"/>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DE7DEA"/>
    <w:multiLevelType w:val="multilevel"/>
    <w:tmpl w:val="BD1C55C4"/>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3370B0"/>
    <w:multiLevelType w:val="multilevel"/>
    <w:tmpl w:val="D55CC878"/>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90F0F82"/>
    <w:multiLevelType w:val="multilevel"/>
    <w:tmpl w:val="46CA49EC"/>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CF79EC"/>
    <w:multiLevelType w:val="multilevel"/>
    <w:tmpl w:val="709A2764"/>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9781C84"/>
    <w:multiLevelType w:val="multilevel"/>
    <w:tmpl w:val="7286F4E8"/>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19A1E0C"/>
    <w:multiLevelType w:val="multilevel"/>
    <w:tmpl w:val="E4EE069C"/>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030FD8"/>
    <w:multiLevelType w:val="multilevel"/>
    <w:tmpl w:val="2BF85042"/>
    <w:lvl w:ilvl="0">
      <w:start w:val="1"/>
      <w:numFmt w:val="decimal"/>
      <w:lvlText w:val="%1."/>
      <w:lvlJc w:val="left"/>
      <w:pPr>
        <w:tabs>
          <w:tab w:val="num" w:pos="0"/>
        </w:tabs>
        <w:ind w:left="1080" w:hanging="360"/>
      </w:pPr>
      <w:rPr>
        <w:rFonts w:ascii="Times New Roman;Times New Roman" w:hAnsi="Times New Roman;Times New Roman" w:cs="Times New Roman;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D354BCB"/>
    <w:multiLevelType w:val="multilevel"/>
    <w:tmpl w:val="FD567EEE"/>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0BA5E5C"/>
    <w:multiLevelType w:val="multilevel"/>
    <w:tmpl w:val="80F6BDCC"/>
    <w:lvl w:ilvl="0">
      <w:start w:val="1"/>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2F25E54"/>
    <w:multiLevelType w:val="multilevel"/>
    <w:tmpl w:val="288CFBDE"/>
    <w:lvl w:ilvl="0">
      <w:start w:val="1"/>
      <w:numFmt w:val="decimal"/>
      <w:lvlText w:val="%1."/>
      <w:lvlJc w:val="left"/>
      <w:pPr>
        <w:tabs>
          <w:tab w:val="num" w:pos="0"/>
        </w:tabs>
        <w:ind w:left="1080" w:hanging="360"/>
      </w:pPr>
      <w:rPr>
        <w:b w:val="0"/>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6B65609"/>
    <w:multiLevelType w:val="multilevel"/>
    <w:tmpl w:val="C1DA7608"/>
    <w:lvl w:ilvl="0">
      <w:start w:val="1"/>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6D53C04"/>
    <w:multiLevelType w:val="multilevel"/>
    <w:tmpl w:val="36DA958C"/>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78A7569"/>
    <w:multiLevelType w:val="multilevel"/>
    <w:tmpl w:val="16EEE904"/>
    <w:lvl w:ilvl="0">
      <w:start w:val="1"/>
      <w:numFmt w:val="bullet"/>
      <w:lvlText w:val="-"/>
      <w:lvlJc w:val="left"/>
      <w:pPr>
        <w:tabs>
          <w:tab w:val="num" w:pos="0"/>
        </w:tabs>
        <w:ind w:left="45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C4B54BD"/>
    <w:multiLevelType w:val="multilevel"/>
    <w:tmpl w:val="53DA48AE"/>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3B77ED2"/>
    <w:multiLevelType w:val="multilevel"/>
    <w:tmpl w:val="031459D8"/>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79324CD5"/>
    <w:multiLevelType w:val="multilevel"/>
    <w:tmpl w:val="9AEE304E"/>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AA26AC1"/>
    <w:multiLevelType w:val="multilevel"/>
    <w:tmpl w:val="88FE22CA"/>
    <w:lvl w:ilvl="0">
      <w:start w:val="1"/>
      <w:numFmt w:val="decimal"/>
      <w:lvlText w:val="%1."/>
      <w:lvlJc w:val="left"/>
      <w:pPr>
        <w:tabs>
          <w:tab w:val="num" w:pos="0"/>
        </w:tabs>
        <w:ind w:left="1440" w:hanging="360"/>
      </w:pPr>
      <w:rPr>
        <w:rFonts w:ascii="Times New Roman;Times New Roman" w:hAnsi="Times New Roman;Times New Roman" w:cs="Times New Roman;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B136B2D"/>
    <w:multiLevelType w:val="multilevel"/>
    <w:tmpl w:val="D2F20F08"/>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E221FDB"/>
    <w:multiLevelType w:val="multilevel"/>
    <w:tmpl w:val="8D568C12"/>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EB3641C"/>
    <w:multiLevelType w:val="multilevel"/>
    <w:tmpl w:val="A2E832BE"/>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65374037">
    <w:abstractNumId w:val="15"/>
  </w:num>
  <w:num w:numId="2" w16cid:durableId="1905990898">
    <w:abstractNumId w:val="10"/>
  </w:num>
  <w:num w:numId="3" w16cid:durableId="966933637">
    <w:abstractNumId w:val="14"/>
  </w:num>
  <w:num w:numId="4" w16cid:durableId="652292231">
    <w:abstractNumId w:val="8"/>
  </w:num>
  <w:num w:numId="5" w16cid:durableId="1180463155">
    <w:abstractNumId w:val="7"/>
  </w:num>
  <w:num w:numId="6" w16cid:durableId="1788890066">
    <w:abstractNumId w:val="20"/>
  </w:num>
  <w:num w:numId="7" w16cid:durableId="1723139875">
    <w:abstractNumId w:val="0"/>
  </w:num>
  <w:num w:numId="8" w16cid:durableId="1159807112">
    <w:abstractNumId w:val="2"/>
  </w:num>
  <w:num w:numId="9" w16cid:durableId="1871265166">
    <w:abstractNumId w:val="18"/>
  </w:num>
  <w:num w:numId="10" w16cid:durableId="1967470711">
    <w:abstractNumId w:val="16"/>
  </w:num>
  <w:num w:numId="11" w16cid:durableId="862591906">
    <w:abstractNumId w:val="19"/>
  </w:num>
  <w:num w:numId="12" w16cid:durableId="957026844">
    <w:abstractNumId w:val="12"/>
  </w:num>
  <w:num w:numId="13" w16cid:durableId="345642824">
    <w:abstractNumId w:val="11"/>
  </w:num>
  <w:num w:numId="14" w16cid:durableId="1043215436">
    <w:abstractNumId w:val="6"/>
  </w:num>
  <w:num w:numId="15" w16cid:durableId="1619484550">
    <w:abstractNumId w:val="5"/>
  </w:num>
  <w:num w:numId="16" w16cid:durableId="1771966449">
    <w:abstractNumId w:val="9"/>
  </w:num>
  <w:num w:numId="17" w16cid:durableId="1066149413">
    <w:abstractNumId w:val="4"/>
  </w:num>
  <w:num w:numId="18" w16cid:durableId="1590770619">
    <w:abstractNumId w:val="17"/>
  </w:num>
  <w:num w:numId="19" w16cid:durableId="1159732019">
    <w:abstractNumId w:val="1"/>
  </w:num>
  <w:num w:numId="20" w16cid:durableId="67307085">
    <w:abstractNumId w:val="13"/>
  </w:num>
  <w:num w:numId="21" w16cid:durableId="12198969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20"/>
  <w:autoHyphenation/>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D3830"/>
    <w:rsid w:val="00150D4B"/>
    <w:rsid w:val="002F080B"/>
    <w:rsid w:val="005437ED"/>
    <w:rsid w:val="007C36FB"/>
    <w:rsid w:val="008D3830"/>
    <w:rsid w:val="00987C00"/>
    <w:rsid w:val="00AF6AE8"/>
    <w:rsid w:val="00B27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4B7609E"/>
  <w15:docId w15:val="{4D69D3A4-2363-41D9-A7D2-30B990354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FreeSans"/>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Times New Roman" w:eastAsia="Times New Roman;Times New Roman" w:hAnsi="Times New Roman;Times New Roman" w:cs="Times New Roman;Times New Roman"/>
      <w:sz w:val="28"/>
      <w:szCs w:val="28"/>
      <w:lang w:eastAsia="zh-CN"/>
    </w:rPr>
  </w:style>
  <w:style w:type="paragraph" w:styleId="Heading1">
    <w:name w:val="heading 1"/>
    <w:basedOn w:val="Normal"/>
    <w:next w:val="Normal"/>
    <w:uiPriority w:val="9"/>
    <w:qFormat/>
    <w:pPr>
      <w:keepNext/>
      <w:keepLines/>
      <w:numPr>
        <w:numId w:val="1"/>
      </w:numPr>
      <w:spacing w:before="240"/>
      <w:contextualSpacing/>
      <w:outlineLvl w:val="0"/>
    </w:pPr>
    <w:rPr>
      <w:b/>
      <w:szCs w:val="32"/>
    </w:rPr>
  </w:style>
  <w:style w:type="paragraph" w:styleId="Heading2">
    <w:name w:val="heading 2"/>
    <w:basedOn w:val="Normal"/>
    <w:next w:val="Normal"/>
    <w:uiPriority w:val="9"/>
    <w:semiHidden/>
    <w:unhideWhenUsed/>
    <w:qFormat/>
    <w:pPr>
      <w:keepNext/>
      <w:keepLines/>
      <w:numPr>
        <w:ilvl w:val="1"/>
        <w:numId w:val="1"/>
      </w:numPr>
      <w:spacing w:before="120"/>
      <w:contextualSpacing/>
      <w:outlineLvl w:val="1"/>
    </w:pPr>
    <w:rPr>
      <w:b/>
      <w:szCs w:val="26"/>
    </w:rPr>
  </w:style>
  <w:style w:type="paragraph" w:styleId="Heading3">
    <w:name w:val="heading 3"/>
    <w:basedOn w:val="Normal"/>
    <w:next w:val="Normal"/>
    <w:uiPriority w:val="9"/>
    <w:semiHidden/>
    <w:unhideWhenUsed/>
    <w:qFormat/>
    <w:pPr>
      <w:keepNext/>
      <w:keepLines/>
      <w:numPr>
        <w:ilvl w:val="2"/>
        <w:numId w:val="1"/>
      </w:numPr>
      <w:spacing w:before="120" w:after="120" w:line="264" w:lineRule="auto"/>
      <w:contextualSpacing/>
      <w:outlineLvl w:val="2"/>
    </w:pPr>
    <w:rPr>
      <w:b/>
      <w:szCs w:val="24"/>
      <w:lang w:val="vi-VN"/>
    </w:rPr>
  </w:style>
  <w:style w:type="paragraph" w:styleId="Heading4">
    <w:name w:val="heading 4"/>
    <w:basedOn w:val="Normal"/>
    <w:next w:val="Normal"/>
    <w:uiPriority w:val="9"/>
    <w:semiHidden/>
    <w:unhideWhenUsed/>
    <w:qFormat/>
    <w:pPr>
      <w:keepNext/>
      <w:keepLines/>
      <w:numPr>
        <w:ilvl w:val="3"/>
        <w:numId w:val="1"/>
      </w:numPr>
      <w:spacing w:before="120"/>
      <w:contextualSpacing/>
      <w:outlineLvl w:val="3"/>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b w:val="0"/>
      <w:bCs/>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style>
  <w:style w:type="character" w:customStyle="1" w:styleId="WW8Num7z1">
    <w:name w:val="WW8Num7z1"/>
    <w:qFormat/>
    <w:rPr>
      <w:rFonts w:ascii="Courier New" w:hAnsi="Courier New" w:cs="Courier New"/>
      <w:sz w:val="20"/>
    </w:rPr>
  </w:style>
  <w:style w:type="character" w:customStyle="1" w:styleId="WW8Num7z2">
    <w:name w:val="WW8Num7z2"/>
    <w:qFormat/>
  </w:style>
  <w:style w:type="character" w:customStyle="1" w:styleId="WW8Num8z0">
    <w:name w:val="WW8Num8z0"/>
    <w:qFormat/>
    <w:rPr>
      <w:rFonts w:ascii="Times New Roman;Times New Roman" w:hAnsi="Times New Roman;Times New Roman" w:cs="Times New Roman;Times New Roman"/>
    </w:rPr>
  </w:style>
  <w:style w:type="character" w:customStyle="1" w:styleId="WW8Num10z0">
    <w:name w:val="WW8Num10z0"/>
    <w:qFormat/>
  </w:style>
  <w:style w:type="character" w:customStyle="1" w:styleId="WW8Num12z0">
    <w:name w:val="WW8Num12z0"/>
    <w:qFormat/>
  </w:style>
  <w:style w:type="character" w:customStyle="1" w:styleId="WW8Num13z0">
    <w:name w:val="WW8Num13z0"/>
    <w:qFormat/>
  </w:style>
  <w:style w:type="character" w:customStyle="1" w:styleId="WW8Num14z0">
    <w:name w:val="WW8Num14z0"/>
    <w:qFormat/>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style>
  <w:style w:type="character" w:customStyle="1" w:styleId="WW8Num17z0">
    <w:name w:val="WW8Num17z0"/>
    <w:qFormat/>
    <w:rPr>
      <w:rFonts w:ascii="Times New Roman;Times New Roman" w:hAnsi="Times New Roman;Times New Roman" w:cs="Times New Roman;Times New Roman"/>
      <w:b/>
      <w:i w:val="0"/>
      <w:sz w:val="28"/>
    </w:rPr>
  </w:style>
  <w:style w:type="character" w:customStyle="1" w:styleId="WW8Num18z0">
    <w:name w:val="WW8Num18z0"/>
    <w:qFormat/>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1z0">
    <w:name w:val="WW8Num21z0"/>
    <w:qFormat/>
    <w:rPr>
      <w:rFonts w:ascii="Symbol" w:hAnsi="Symbol" w:cs="Symbol"/>
      <w:sz w:val="20"/>
    </w:rPr>
  </w:style>
  <w:style w:type="character" w:customStyle="1" w:styleId="WW8Num21z1">
    <w:name w:val="WW8Num21z1"/>
    <w:qFormat/>
    <w:rPr>
      <w:rFonts w:ascii="Courier New" w:hAnsi="Courier New" w:cs="Courier New"/>
      <w:sz w:val="20"/>
    </w:rPr>
  </w:style>
  <w:style w:type="character" w:customStyle="1" w:styleId="WW8Num21z2">
    <w:name w:val="WW8Num21z2"/>
    <w:qFormat/>
    <w:rPr>
      <w:rFonts w:ascii="Wingdings" w:hAnsi="Wingdings" w:cs="Wingdings"/>
      <w:sz w:val="20"/>
    </w:rPr>
  </w:style>
  <w:style w:type="character" w:customStyle="1" w:styleId="WW8Num22z0">
    <w:name w:val="WW8Num22z0"/>
    <w:qFormat/>
  </w:style>
  <w:style w:type="character" w:customStyle="1" w:styleId="WW8Num23z0">
    <w:name w:val="WW8Num23z0"/>
    <w:qFormat/>
  </w:style>
  <w:style w:type="character" w:customStyle="1" w:styleId="WW8Num24z0">
    <w:name w:val="WW8Num24z0"/>
    <w:qFormat/>
    <w:rPr>
      <w:rFonts w:ascii="Times New Roman;Times New Roman" w:eastAsia="Times New Roman;Times New Roman" w:hAnsi="Times New Roman;Times New Roman" w:cs="Times New Roman;Times New Roman"/>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4z3">
    <w:name w:val="WW8Num24z3"/>
    <w:qFormat/>
    <w:rPr>
      <w:rFonts w:ascii="Symbol" w:hAnsi="Symbol" w:cs="Symbol"/>
    </w:rPr>
  </w:style>
  <w:style w:type="character" w:customStyle="1" w:styleId="WW8Num26z0">
    <w:name w:val="WW8Num26z0"/>
    <w:qFormat/>
  </w:style>
  <w:style w:type="character" w:customStyle="1" w:styleId="WW8Num27z0">
    <w:name w:val="WW8Num27z0"/>
    <w:qFormat/>
  </w:style>
  <w:style w:type="character" w:customStyle="1" w:styleId="WW8Num28z0">
    <w:name w:val="WW8Num28z0"/>
    <w:qFormat/>
    <w:rPr>
      <w:rFonts w:ascii="Times New Roman;Times New Roman" w:eastAsia="Times New Roman;Times New Roman" w:hAnsi="Times New Roman;Times New Roman" w:cs="Times New Roman;Times New Roman"/>
    </w:rPr>
  </w:style>
  <w:style w:type="character" w:customStyle="1" w:styleId="WW8Num29z0">
    <w:name w:val="WW8Num29z0"/>
    <w:qFormat/>
    <w:rPr>
      <w:b w:val="0"/>
    </w:rPr>
  </w:style>
  <w:style w:type="character" w:customStyle="1" w:styleId="WW8Num30z0">
    <w:name w:val="WW8Num30z0"/>
    <w:qFormat/>
    <w:rPr>
      <w:color w:val="000000"/>
    </w:rPr>
  </w:style>
  <w:style w:type="character" w:customStyle="1" w:styleId="WW8Num31z0">
    <w:name w:val="WW8Num31z0"/>
    <w:qFormat/>
    <w:rPr>
      <w:rFonts w:ascii="Symbol" w:hAnsi="Symbol" w:cs="Symbol"/>
      <w:sz w:val="20"/>
    </w:rPr>
  </w:style>
  <w:style w:type="character" w:customStyle="1" w:styleId="WW8Num31z1">
    <w:name w:val="WW8Num31z1"/>
    <w:qFormat/>
    <w:rPr>
      <w:rFonts w:ascii="Courier New" w:hAnsi="Courier New" w:cs="Courier New"/>
      <w:sz w:val="20"/>
    </w:rPr>
  </w:style>
  <w:style w:type="character" w:customStyle="1" w:styleId="WW8Num31z2">
    <w:name w:val="WW8Num31z2"/>
    <w:qFormat/>
    <w:rPr>
      <w:rFonts w:ascii="Wingdings" w:hAnsi="Wingdings" w:cs="Wingdings"/>
      <w:sz w:val="20"/>
    </w:rPr>
  </w:style>
  <w:style w:type="character" w:customStyle="1" w:styleId="WW8Num32z0">
    <w:name w:val="WW8Num32z0"/>
    <w:qFormat/>
    <w:rPr>
      <w:rFonts w:ascii="Times New Roman;Times New Roman" w:eastAsia="Times New Roman;Times New Roman" w:hAnsi="Times New Roman;Times New Roman" w:cs="Times New Roman;Times New Roman"/>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2z3">
    <w:name w:val="WW8Num32z3"/>
    <w:qFormat/>
    <w:rPr>
      <w:rFonts w:ascii="Symbol" w:hAnsi="Symbol" w:cs="Symbol"/>
    </w:rPr>
  </w:style>
  <w:style w:type="character" w:customStyle="1" w:styleId="WW8Num33z0">
    <w:name w:val="WW8Num33z0"/>
    <w:qFormat/>
    <w:rPr>
      <w:rFonts w:ascii="Symbol" w:hAnsi="Symbol" w:cs="Symbol"/>
      <w:sz w:val="20"/>
    </w:rPr>
  </w:style>
  <w:style w:type="character" w:customStyle="1" w:styleId="WW8Num33z1">
    <w:name w:val="WW8Num33z1"/>
    <w:qFormat/>
    <w:rPr>
      <w:rFonts w:ascii="Courier New" w:hAnsi="Courier New" w:cs="Courier New"/>
      <w:sz w:val="20"/>
    </w:rPr>
  </w:style>
  <w:style w:type="character" w:customStyle="1" w:styleId="WW8Num33z2">
    <w:name w:val="WW8Num33z2"/>
    <w:qFormat/>
    <w:rPr>
      <w:rFonts w:ascii="Wingdings" w:hAnsi="Wingdings" w:cs="Wingdings"/>
      <w:sz w:val="20"/>
    </w:rPr>
  </w:style>
  <w:style w:type="character" w:customStyle="1" w:styleId="WW8Num34z0">
    <w:name w:val="WW8Num34z0"/>
    <w:qFormat/>
    <w:rPr>
      <w:rFonts w:ascii="Times New Roman;Times New Roman" w:eastAsia="Times New Roman;Times New Roman" w:hAnsi="Times New Roman;Times New Roman" w:cs="Times New Roman;Times New Roman"/>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4z3">
    <w:name w:val="WW8Num34z3"/>
    <w:qFormat/>
    <w:rPr>
      <w:rFonts w:ascii="Symbol" w:hAnsi="Symbol" w:cs="Symbol"/>
    </w:rPr>
  </w:style>
  <w:style w:type="character" w:customStyle="1" w:styleId="WW8Num35z0">
    <w:name w:val="WW8Num35z0"/>
    <w:qFormat/>
  </w:style>
  <w:style w:type="character" w:customStyle="1" w:styleId="WW8Num36z0">
    <w:name w:val="WW8Num36z0"/>
    <w:qFormat/>
    <w:rPr>
      <w:rFonts w:ascii="Times New Roman;Times New Roman" w:hAnsi="Times New Roman;Times New Roman" w:cs="Times New Roman;Times New Roman"/>
    </w:rPr>
  </w:style>
  <w:style w:type="character" w:customStyle="1" w:styleId="WW8Num38z0">
    <w:name w:val="WW8Num38z0"/>
    <w:qFormat/>
  </w:style>
  <w:style w:type="character" w:customStyle="1" w:styleId="WW8Num40z0">
    <w:name w:val="WW8Num40z0"/>
    <w:qFormat/>
    <w:rPr>
      <w:rFonts w:ascii="Symbol" w:hAnsi="Symbol" w:cs="Symbol"/>
      <w:sz w:val="20"/>
    </w:rPr>
  </w:style>
  <w:style w:type="character" w:customStyle="1" w:styleId="WW8Num40z1">
    <w:name w:val="WW8Num40z1"/>
    <w:qFormat/>
    <w:rPr>
      <w:rFonts w:ascii="Courier New" w:hAnsi="Courier New" w:cs="Courier New"/>
      <w:sz w:val="20"/>
    </w:rPr>
  </w:style>
  <w:style w:type="character" w:customStyle="1" w:styleId="WW8Num40z2">
    <w:name w:val="WW8Num40z2"/>
    <w:qFormat/>
    <w:rPr>
      <w:rFonts w:ascii="Wingdings" w:hAnsi="Wingdings" w:cs="Wingdings"/>
      <w:sz w:val="20"/>
    </w:rPr>
  </w:style>
  <w:style w:type="character" w:customStyle="1" w:styleId="WW8Num41z1">
    <w:name w:val="WW8Num41z1"/>
    <w:qFormat/>
    <w:rPr>
      <w:rFonts w:ascii="Times New Roman;Times New Roman" w:eastAsia="Times New Roman;Times New Roman" w:hAnsi="Times New Roman;Times New Roman" w:cs="Times New Roman;Times New Roman"/>
    </w:rPr>
  </w:style>
  <w:style w:type="character" w:customStyle="1" w:styleId="WW8Num42z0">
    <w:name w:val="WW8Num42z0"/>
    <w:qFormat/>
    <w:rPr>
      <w:rFonts w:ascii="Times New Roman;Times New Roman" w:eastAsia="Times New Roman;Times New Roman" w:hAnsi="Times New Roman;Times New Roman" w:cs="Times New Roman;Times New Roman"/>
    </w:rPr>
  </w:style>
  <w:style w:type="character" w:customStyle="1" w:styleId="WW8Num42z1">
    <w:name w:val="WW8Num42z1"/>
    <w:qFormat/>
    <w:rPr>
      <w:rFonts w:ascii="Courier New" w:hAnsi="Courier New" w:cs="Courier New"/>
    </w:rPr>
  </w:style>
  <w:style w:type="character" w:customStyle="1" w:styleId="WW8Num42z2">
    <w:name w:val="WW8Num42z2"/>
    <w:qFormat/>
    <w:rPr>
      <w:rFonts w:ascii="Wingdings" w:hAnsi="Wingdings" w:cs="Wingdings"/>
    </w:rPr>
  </w:style>
  <w:style w:type="character" w:customStyle="1" w:styleId="WW8Num42z3">
    <w:name w:val="WW8Num42z3"/>
    <w:qFormat/>
    <w:rPr>
      <w:rFonts w:ascii="Symbol" w:hAnsi="Symbol" w:cs="Symbol"/>
    </w:rPr>
  </w:style>
  <w:style w:type="character" w:customStyle="1" w:styleId="WW8Num44z0">
    <w:name w:val="WW8Num44z0"/>
    <w:qFormat/>
    <w:rPr>
      <w:rFonts w:ascii="Symbol" w:hAnsi="Symbol" w:cs="Symbol"/>
      <w:sz w:val="20"/>
    </w:rPr>
  </w:style>
  <w:style w:type="character" w:customStyle="1" w:styleId="WW8Num44z1">
    <w:name w:val="WW8Num44z1"/>
    <w:qFormat/>
    <w:rPr>
      <w:rFonts w:ascii="Courier New" w:hAnsi="Courier New" w:cs="Courier New"/>
      <w:sz w:val="20"/>
    </w:rPr>
  </w:style>
  <w:style w:type="character" w:customStyle="1" w:styleId="WW8Num44z2">
    <w:name w:val="WW8Num44z2"/>
    <w:qFormat/>
    <w:rPr>
      <w:rFonts w:ascii="Wingdings" w:hAnsi="Wingdings" w:cs="Wingdings"/>
      <w:sz w:val="20"/>
    </w:rPr>
  </w:style>
  <w:style w:type="character" w:customStyle="1" w:styleId="WW8Num45z0">
    <w:name w:val="WW8Num45z0"/>
    <w:qFormat/>
  </w:style>
  <w:style w:type="character" w:customStyle="1" w:styleId="WW8Num46z0">
    <w:name w:val="WW8Num46z0"/>
    <w:qFormat/>
    <w:rPr>
      <w:rFonts w:ascii="Symbol" w:hAnsi="Symbol" w:cs="Symbol"/>
      <w:sz w:val="20"/>
    </w:rPr>
  </w:style>
  <w:style w:type="character" w:customStyle="1" w:styleId="WW8Num46z1">
    <w:name w:val="WW8Num46z1"/>
    <w:qFormat/>
    <w:rPr>
      <w:rFonts w:ascii="Courier New" w:hAnsi="Courier New" w:cs="Courier New"/>
      <w:sz w:val="20"/>
    </w:rPr>
  </w:style>
  <w:style w:type="character" w:customStyle="1" w:styleId="WW8Num46z2">
    <w:name w:val="WW8Num46z2"/>
    <w:qFormat/>
    <w:rPr>
      <w:rFonts w:ascii="Wingdings" w:hAnsi="Wingdings" w:cs="Wingdings"/>
      <w:sz w:val="20"/>
    </w:rPr>
  </w:style>
  <w:style w:type="character" w:customStyle="1" w:styleId="Heading1Char">
    <w:name w:val="Heading 1 Char"/>
    <w:qFormat/>
    <w:rPr>
      <w:rFonts w:ascii="Times New Roman;Times New Roman" w:eastAsia="Times New Roman;Times New Roman" w:hAnsi="Times New Roman;Times New Roman" w:cs="Times New Roman;Times New Roman"/>
      <w:b/>
      <w:sz w:val="26"/>
      <w:szCs w:val="32"/>
    </w:rPr>
  </w:style>
  <w:style w:type="character" w:customStyle="1" w:styleId="Heading2Char">
    <w:name w:val="Heading 2 Char"/>
    <w:qFormat/>
    <w:rPr>
      <w:rFonts w:ascii="Times New Roman;Times New Roman" w:eastAsia="Times New Roman;Times New Roman" w:hAnsi="Times New Roman;Times New Roman" w:cs="Times New Roman;Times New Roman"/>
      <w:b/>
      <w:sz w:val="26"/>
      <w:szCs w:val="26"/>
    </w:rPr>
  </w:style>
  <w:style w:type="character" w:customStyle="1" w:styleId="Heading3Char">
    <w:name w:val="Heading 3 Char"/>
    <w:qFormat/>
    <w:rPr>
      <w:rFonts w:ascii="Times New Roman;Times New Roman" w:eastAsia="Times New Roman;Times New Roman" w:hAnsi="Times New Roman;Times New Roman" w:cs="Times New Roman;Times New Roman"/>
      <w:b/>
      <w:sz w:val="28"/>
      <w:szCs w:val="24"/>
      <w:lang w:val="vi-VN"/>
    </w:rPr>
  </w:style>
  <w:style w:type="character" w:customStyle="1" w:styleId="Heading4Char">
    <w:name w:val="Heading 4 Char"/>
    <w:qFormat/>
    <w:rPr>
      <w:rFonts w:ascii="Times New Roman;Times New Roman" w:eastAsia="Times New Roman;Times New Roman" w:hAnsi="Times New Roman;Times New Roman" w:cs="Times New Roman;Times New Roman"/>
      <w:i/>
      <w:iCs/>
      <w:sz w:val="26"/>
    </w:rPr>
  </w:style>
  <w:style w:type="character" w:customStyle="1" w:styleId="HeaderChar">
    <w:name w:val="Header Char"/>
    <w:qFormat/>
    <w:rPr>
      <w:rFonts w:ascii="Times New Roman;Times New Roman" w:eastAsia="Times New Roman;Times New Roman" w:hAnsi="Times New Roman;Times New Roman" w:cs="Times New Roman;Times New Roman"/>
      <w:sz w:val="28"/>
      <w:szCs w:val="28"/>
    </w:rPr>
  </w:style>
  <w:style w:type="character" w:customStyle="1" w:styleId="FooterChar">
    <w:name w:val="Footer Char"/>
    <w:qFormat/>
    <w:rPr>
      <w:rFonts w:ascii="Times New Roman;Times New Roman" w:eastAsia="Times New Roman;Times New Roman" w:hAnsi="Times New Roman;Times New Roman" w:cs="Times New Roman;Times New Roman"/>
      <w:sz w:val="28"/>
      <w:szCs w:val="28"/>
    </w:rPr>
  </w:style>
  <w:style w:type="character" w:customStyle="1" w:styleId="BalloonTextChar">
    <w:name w:val="Balloon Text Char"/>
    <w:qFormat/>
    <w:rPr>
      <w:rFonts w:ascii="Segoe UI" w:eastAsia="Times New Roman;Times New Roman" w:hAnsi="Segoe UI" w:cs="Segoe UI"/>
      <w:sz w:val="18"/>
      <w:szCs w:val="18"/>
    </w:rPr>
  </w:style>
  <w:style w:type="character" w:styleId="Strong">
    <w:name w:val="Strong"/>
    <w:qFormat/>
    <w:rPr>
      <w:b/>
      <w:bCs/>
    </w:rPr>
  </w:style>
  <w:style w:type="character" w:styleId="Hyperlink">
    <w:name w:val="Hyperlink"/>
    <w:rPr>
      <w:color w:val="0563C1"/>
      <w:u w:val="single"/>
    </w:rPr>
  </w:style>
  <w:style w:type="character" w:customStyle="1" w:styleId="ListParagraphChar">
    <w:name w:val="List Paragraph Char"/>
    <w:qFormat/>
    <w:rPr>
      <w:rFonts w:cs="Cordia New"/>
      <w:kern w:val="2"/>
      <w:sz w:val="24"/>
      <w:szCs w:val="30"/>
      <w:lang w:bidi="th-TH"/>
    </w:rPr>
  </w:style>
  <w:style w:type="character" w:customStyle="1" w:styleId="FootnoteTextChar">
    <w:name w:val="Footnote Text Char"/>
    <w:qFormat/>
    <w:rPr>
      <w:rFonts w:ascii="Times New Roman;Times New Roman" w:eastAsia="Times New Roman;Times New Roman" w:hAnsi="Times New Roman;Times New Roman" w:cs="Times New Roman;Times New Roman"/>
    </w:rPr>
  </w:style>
  <w:style w:type="paragraph" w:customStyle="1" w:styleId="Heading">
    <w:name w:val="Heading"/>
    <w:basedOn w:val="Normal"/>
    <w:next w:val="BodyText"/>
    <w:qFormat/>
    <w:pPr>
      <w:keepNext/>
      <w:spacing w:before="240" w:after="120"/>
    </w:pPr>
    <w:rPr>
      <w:rFonts w:ascii="Liberation Sans" w:eastAsia="Noto Sans CJK SC" w:hAnsi="Liberation Sans" w:cs="FreeSans"/>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customStyle="1" w:styleId="Char4">
    <w:name w:val="Char4"/>
    <w:basedOn w:val="Normal"/>
    <w:qFormat/>
    <w:pPr>
      <w:spacing w:after="160" w:line="240" w:lineRule="exact"/>
    </w:pPr>
    <w:rPr>
      <w:rFonts w:ascii="Arial" w:hAnsi="Arial" w:cs="Arial"/>
      <w:sz w:val="22"/>
      <w:szCs w:val="22"/>
    </w:rPr>
  </w:style>
  <w:style w:type="paragraph" w:styleId="ListParagraph">
    <w:name w:val="List Paragraph"/>
    <w:basedOn w:val="Normal"/>
    <w:qFormat/>
    <w:pPr>
      <w:spacing w:after="160" w:line="276" w:lineRule="auto"/>
      <w:ind w:left="720"/>
      <w:contextualSpacing/>
    </w:pPr>
    <w:rPr>
      <w:rFonts w:ascii="Calibri" w:eastAsia="Calibri" w:hAnsi="Calibri" w:cs="Cordia New"/>
      <w:kern w:val="2"/>
      <w:sz w:val="24"/>
      <w:szCs w:val="30"/>
      <w:lang w:bidi="th-TH"/>
    </w:rPr>
  </w:style>
  <w:style w:type="paragraph" w:styleId="NormalWeb">
    <w:name w:val="Normal (Web)"/>
    <w:basedOn w:val="Normal"/>
    <w:qFormat/>
    <w:pPr>
      <w:spacing w:before="280" w:after="280"/>
    </w:pPr>
    <w:rPr>
      <w:sz w:val="24"/>
      <w:szCs w:val="24"/>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style>
  <w:style w:type="paragraph" w:styleId="Footer">
    <w:name w:val="footer"/>
    <w:basedOn w:val="Normal"/>
  </w:style>
  <w:style w:type="paragraph" w:styleId="BalloonText">
    <w:name w:val="Balloon Text"/>
    <w:basedOn w:val="Normal"/>
    <w:qFormat/>
    <w:rPr>
      <w:rFonts w:ascii="Segoe UI" w:hAnsi="Segoe UI" w:cs="Segoe UI"/>
      <w:sz w:val="18"/>
      <w:szCs w:val="18"/>
    </w:rPr>
  </w:style>
  <w:style w:type="paragraph" w:styleId="FootnoteText">
    <w:name w:val="footnote text"/>
    <w:pPr>
      <w:suppressAutoHyphens/>
    </w:pPr>
    <w:rPr>
      <w:rFonts w:ascii="Times New Roman;Times New Roman" w:eastAsia="Times New Roman;Times New Roman" w:hAnsi="Times New Roman;Times New Roman" w:cs="Times New Roman;Times New Roman"/>
      <w:lang w:eastAsia="zh-CN"/>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348</TotalTime>
  <Pages>32</Pages>
  <Words>9737</Words>
  <Characters>55507</Characters>
  <Application>Microsoft Office Word</Application>
  <DocSecurity>0</DocSecurity>
  <Lines>462</Lines>
  <Paragraphs>130</Paragraphs>
  <ScaleCrop>false</ScaleCrop>
  <Company/>
  <LinksUpToDate>false</LinksUpToDate>
  <CharactersWithSpaces>65114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Nguyen Thi Cam Tuyen</cp:lastModifiedBy>
  <cp:revision>4</cp:revision>
  <dcterms:created xsi:type="dcterms:W3CDTF">2026-09-29T16:33:00Z</dcterms:created>
  <dcterms:modified xsi:type="dcterms:W3CDTF">2026-10-01T09:01:00Z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2026-08-18T20:09:00Z</dcterms:created>
  <dc:creator>Administrator</dc:creator>
  <dc:description/>
  <cp:keywords/>
  <dc:language>en-US</dc:language>
  <cp:lastModifiedBy>Nguyen Thi Cam Tuyen</cp:lastModifiedBy>
  <cp:lastPrinted>2026-08-19T02:25:00Z</cp:lastPrinted>
  <dcterms:modified xsi:type="dcterms:W3CDTF">2026-08-27T16:22:00Z</dcterms:modified>
  <cp:revision>480</cp:revision>
  <dc:subject/>
  <dc:title/>
</cp:coreProperties>
</file>